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3744" w:rsidRDefault="00475E69">
      <w:pPr>
        <w:rPr>
          <w:rFonts w:ascii="Arial" w:eastAsia="Arial" w:hAnsi="Arial" w:cs="Arial"/>
          <w:b/>
          <w:sz w:val="36"/>
          <w:szCs w:val="36"/>
        </w:rPr>
      </w:pPr>
      <w:r>
        <w:rPr>
          <w:rFonts w:ascii="Arial" w:eastAsia="Arial" w:hAnsi="Arial" w:cs="Arial"/>
          <w:b/>
          <w:sz w:val="36"/>
          <w:szCs w:val="36"/>
        </w:rPr>
        <w:t>Framework Schedule 4 (Framework Management)</w:t>
      </w:r>
    </w:p>
    <w:p w:rsidR="00BA3744" w:rsidRDefault="00475E69">
      <w:pPr>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BA3744" w:rsidRDefault="00475E69">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2"/>
        <w:tblW w:w="831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8"/>
        <w:gridCol w:w="5386"/>
      </w:tblGrid>
      <w:tr w:rsidR="00BA3744">
        <w:tc>
          <w:tcPr>
            <w:tcW w:w="2928" w:type="dxa"/>
            <w:shd w:val="clear" w:color="auto" w:fill="auto"/>
          </w:tcPr>
          <w:p w:rsidR="00BA3744" w:rsidRDefault="00475E69">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"Supplier Framework Manager"</w:t>
            </w:r>
          </w:p>
        </w:tc>
        <w:tc>
          <w:tcPr>
            <w:tcW w:w="5386" w:type="dxa"/>
            <w:shd w:val="clear" w:color="auto" w:fill="auto"/>
          </w:tcPr>
          <w:p w:rsidR="00BA3744" w:rsidRDefault="00475E69">
            <w:pPr>
              <w:numPr>
                <w:ilvl w:val="0"/>
                <w:numId w:val="1"/>
              </w:numPr>
              <w:pBdr>
                <w:top w:val="nil"/>
                <w:left w:val="nil"/>
                <w:bottom w:val="nil"/>
                <w:right w:val="nil"/>
                <w:between w:val="nil"/>
              </w:pBdr>
              <w:tabs>
                <w:tab w:val="left" w:pos="175"/>
              </w:tabs>
              <w:spacing w:after="120"/>
              <w:rPr>
                <w:rFonts w:ascii="Arial" w:eastAsia="Arial" w:hAnsi="Arial" w:cs="Arial"/>
                <w:sz w:val="24"/>
                <w:szCs w:val="24"/>
              </w:rPr>
            </w:pPr>
            <w:r>
              <w:rPr>
                <w:rFonts w:ascii="Arial" w:eastAsia="Arial" w:hAnsi="Arial" w:cs="Arial"/>
                <w:sz w:val="24"/>
                <w:szCs w:val="24"/>
              </w:rPr>
              <w:t>has the meaning given to it in Paragraph 3.1 of this Schedule; and</w:t>
            </w:r>
          </w:p>
        </w:tc>
      </w:tr>
      <w:tr w:rsidR="00BA3744">
        <w:tc>
          <w:tcPr>
            <w:tcW w:w="2928" w:type="dxa"/>
            <w:shd w:val="clear" w:color="auto" w:fill="auto"/>
          </w:tcPr>
          <w:p w:rsidR="00BA3744" w:rsidRDefault="00475E69">
            <w:pPr>
              <w:pBdr>
                <w:top w:val="nil"/>
                <w:left w:val="nil"/>
                <w:bottom w:val="nil"/>
                <w:right w:val="nil"/>
                <w:between w:val="nil"/>
              </w:pBdr>
              <w:ind w:left="-108"/>
              <w:rPr>
                <w:rFonts w:ascii="Arial" w:eastAsia="Arial" w:hAnsi="Arial" w:cs="Arial"/>
                <w:b/>
                <w:sz w:val="24"/>
                <w:szCs w:val="24"/>
              </w:rPr>
            </w:pPr>
            <w:r>
              <w:rPr>
                <w:rFonts w:ascii="Arial" w:eastAsia="Arial" w:hAnsi="Arial" w:cs="Arial"/>
                <w:b/>
                <w:sz w:val="24"/>
                <w:szCs w:val="24"/>
              </w:rPr>
              <w:t>"Supplier Review Meetings"</w:t>
            </w:r>
          </w:p>
        </w:tc>
        <w:tc>
          <w:tcPr>
            <w:tcW w:w="5386" w:type="dxa"/>
            <w:shd w:val="clear" w:color="auto" w:fill="auto"/>
          </w:tcPr>
          <w:p w:rsidR="00BA3744" w:rsidRDefault="00475E69">
            <w:pPr>
              <w:numPr>
                <w:ilvl w:val="0"/>
                <w:numId w:val="1"/>
              </w:numPr>
              <w:pBdr>
                <w:top w:val="nil"/>
                <w:left w:val="nil"/>
                <w:bottom w:val="nil"/>
                <w:right w:val="nil"/>
                <w:between w:val="nil"/>
              </w:pBdr>
              <w:tabs>
                <w:tab w:val="left" w:pos="175"/>
              </w:tabs>
              <w:rPr>
                <w:rFonts w:ascii="Arial" w:eastAsia="Arial" w:hAnsi="Arial" w:cs="Arial"/>
                <w:sz w:val="24"/>
                <w:szCs w:val="24"/>
              </w:rPr>
            </w:pPr>
            <w:proofErr w:type="gramStart"/>
            <w:r>
              <w:rPr>
                <w:rFonts w:ascii="Arial" w:eastAsia="Arial" w:hAnsi="Arial" w:cs="Arial"/>
                <w:sz w:val="24"/>
                <w:szCs w:val="24"/>
              </w:rPr>
              <w:t>has</w:t>
            </w:r>
            <w:proofErr w:type="gramEnd"/>
            <w:r>
              <w:rPr>
                <w:rFonts w:ascii="Arial" w:eastAsia="Arial" w:hAnsi="Arial" w:cs="Arial"/>
                <w:sz w:val="24"/>
                <w:szCs w:val="24"/>
              </w:rPr>
              <w:t xml:space="preserve"> the meaning given to it in Paragraph 3.9 of this Schedule.</w:t>
            </w:r>
          </w:p>
        </w:tc>
      </w:tr>
    </w:tbl>
    <w:p w:rsidR="00BA3744" w:rsidRDefault="00475E69">
      <w:pPr>
        <w:keepNext/>
        <w:numPr>
          <w:ilvl w:val="0"/>
          <w:numId w:val="2"/>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rsidR="00BA3744" w:rsidRDefault="00475E6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BA3744" w:rsidRDefault="00475E6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BA3744" w:rsidRDefault="00475E6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out</w:t>
      </w:r>
      <w:r>
        <w:rPr>
          <w:rFonts w:ascii="Arial" w:eastAsia="Arial" w:hAnsi="Arial" w:cs="Arial"/>
          <w:color w:val="000000"/>
          <w:sz w:val="24"/>
          <w:szCs w:val="24"/>
        </w:rPr>
        <w:t xml:space="preserve">lines the general structures and management activities that </w:t>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Parties shall follow during the Framework Period.</w:t>
      </w:r>
    </w:p>
    <w:p w:rsidR="00BA3744" w:rsidRDefault="00475E69">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rsidR="00BA3744" w:rsidRDefault="00475E69">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rsidR="00BA3744" w:rsidRDefault="00475E69">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0" w:name="_heading=h.gjdgxs" w:colFirst="0" w:colLast="0"/>
      <w:bookmarkEnd w:id="0"/>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rsidR="00BA3744" w:rsidRDefault="00475E69">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w:t>
      </w:r>
      <w:r>
        <w:rPr>
          <w:rFonts w:ascii="Arial" w:eastAsia="Arial" w:hAnsi="Arial" w:cs="Arial"/>
          <w:color w:val="000000"/>
          <w:sz w:val="24"/>
          <w:szCs w:val="24"/>
        </w:rPr>
        <w:t xml:space="preserv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rsidR="00BA3744" w:rsidRDefault="00475E69">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A governance structure will be agreed between the Parties as soon as reasonably practicable following the Framework Start Date.</w:t>
      </w:r>
    </w:p>
    <w:p w:rsidR="00BA3744" w:rsidRDefault="00475E69">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Supplier’s Framework</w:t>
      </w:r>
      <w:r>
        <w:rPr>
          <w:rFonts w:ascii="Arial" w:eastAsia="Arial" w:hAnsi="Arial" w:cs="Arial"/>
          <w:color w:val="000000"/>
          <w:sz w:val="24"/>
          <w:szCs w:val="24"/>
        </w:rPr>
        <w:t xml:space="preserve"> Manager shall ensure where Service Levels are not being met, that appropriate extra resources are committed promptly and action is taken to resolve any issues to the satisfaction of the Authority which may include a Rectification Plan, as per Joint Schedu</w:t>
      </w:r>
      <w:r>
        <w:rPr>
          <w:rFonts w:ascii="Arial" w:eastAsia="Arial" w:hAnsi="Arial" w:cs="Arial"/>
          <w:color w:val="000000"/>
          <w:sz w:val="24"/>
          <w:szCs w:val="24"/>
        </w:rPr>
        <w:t>le 10.</w:t>
      </w:r>
    </w:p>
    <w:p w:rsidR="00BA3744" w:rsidRDefault="00475E69">
      <w:pPr>
        <w:numPr>
          <w:ilvl w:val="1"/>
          <w:numId w:val="2"/>
        </w:numP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Following discussions between the Parties following the Framework Start Date, where </w:t>
      </w:r>
      <w:proofErr w:type="gramStart"/>
      <w:r>
        <w:rPr>
          <w:rFonts w:ascii="Arial" w:eastAsia="Arial" w:hAnsi="Arial" w:cs="Arial"/>
          <w:color w:val="000000"/>
          <w:sz w:val="24"/>
          <w:szCs w:val="24"/>
        </w:rPr>
        <w:t>requested by CCS the Supplier</w:t>
      </w:r>
      <w:proofErr w:type="gramEnd"/>
      <w:r>
        <w:rPr>
          <w:rFonts w:ascii="Arial" w:eastAsia="Arial" w:hAnsi="Arial" w:cs="Arial"/>
          <w:color w:val="000000"/>
          <w:sz w:val="24"/>
          <w:szCs w:val="24"/>
        </w:rPr>
        <w:t xml:space="preserve">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CCS shall not unreasonably withhold or delay its agreement to the draft Supplier Action Plan. The Supplier Action Plan shall be agreed between the Parties and come into effect within two weeks from receipt by the Supplier of the draft Supplier Action P</w:t>
      </w:r>
      <w:r>
        <w:rPr>
          <w:rFonts w:ascii="Arial" w:eastAsia="Arial" w:hAnsi="Arial" w:cs="Arial"/>
          <w:color w:val="000000"/>
          <w:sz w:val="24"/>
          <w:szCs w:val="24"/>
        </w:rPr>
        <w:t xml:space="preserve">lan. </w:t>
      </w:r>
      <w:r>
        <w:t xml:space="preserve">     </w:t>
      </w:r>
      <w:r>
        <w:rPr>
          <w:rFonts w:ascii="Arial" w:eastAsia="Arial" w:hAnsi="Arial" w:cs="Arial"/>
          <w:color w:val="000000"/>
          <w:sz w:val="24"/>
          <w:szCs w:val="24"/>
        </w:rPr>
        <w:t xml:space="preserve">The Supplier Action Plan shall be maintained and updated on an ongoing basis by CCS. Any changes to the Supplier Action </w:t>
      </w:r>
      <w:r>
        <w:rPr>
          <w:rFonts w:ascii="Arial" w:eastAsia="Arial" w:hAnsi="Arial" w:cs="Arial"/>
          <w:color w:val="000000"/>
          <w:sz w:val="24"/>
          <w:szCs w:val="24"/>
        </w:rPr>
        <w:lastRenderedPageBreak/>
        <w:t>Plan shall be notified by CCS to the Supplier. The Supplier shall not unreasonably withhold its agreement to any changes to th</w:t>
      </w:r>
      <w:r>
        <w:rPr>
          <w:rFonts w:ascii="Arial" w:eastAsia="Arial" w:hAnsi="Arial" w:cs="Arial"/>
          <w:color w:val="000000"/>
          <w:sz w:val="24"/>
          <w:szCs w:val="24"/>
        </w:rPr>
        <w:t>e Supplier Action Plan. Any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rsidR="00BA3744" w:rsidRDefault="00475E69">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agrees to comply with its obligations in the</w:t>
      </w:r>
      <w:r>
        <w:rPr>
          <w:rFonts w:ascii="Arial" w:eastAsia="Arial" w:hAnsi="Arial" w:cs="Arial"/>
          <w:color w:val="000000"/>
          <w:sz w:val="24"/>
          <w:szCs w:val="24"/>
        </w:rPr>
        <w:t xml:space="preserve"> Supplier Action Plan as updated from time to time.</w:t>
      </w:r>
    </w:p>
    <w:p w:rsidR="00BA3744" w:rsidRDefault="00475E69">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shall comply with all requests from CCS in regard to compliance requirements as required including:</w:t>
      </w:r>
    </w:p>
    <w:p w:rsidR="00BA3744" w:rsidRDefault="00475E6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Dun and Bradstreet risk failure score monitoring;</w:t>
      </w:r>
    </w:p>
    <w:p w:rsidR="00BA3744" w:rsidRDefault="00475E6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 evidence that the Required Insura</w:t>
      </w:r>
      <w:r>
        <w:rPr>
          <w:rFonts w:ascii="Arial" w:eastAsia="Arial" w:hAnsi="Arial" w:cs="Arial"/>
          <w:color w:val="000000"/>
          <w:sz w:val="24"/>
          <w:szCs w:val="24"/>
        </w:rPr>
        <w:t>nces and Additional Insurances have been renewed and maintained;</w:t>
      </w:r>
    </w:p>
    <w:p w:rsidR="00BA3744" w:rsidRDefault="00475E6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invoice payment performance; and</w:t>
      </w:r>
    </w:p>
    <w:p w:rsidR="00BA3744" w:rsidRDefault="00475E6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verification</w:t>
      </w:r>
      <w:proofErr w:type="gramEnd"/>
      <w:r>
        <w:rPr>
          <w:rFonts w:ascii="Arial" w:eastAsia="Arial" w:hAnsi="Arial" w:cs="Arial"/>
          <w:color w:val="000000"/>
          <w:sz w:val="24"/>
          <w:szCs w:val="24"/>
        </w:rPr>
        <w:t xml:space="preserve"> of required accreditations &amp; certifications.</w:t>
      </w:r>
    </w:p>
    <w:p w:rsidR="00BA3744" w:rsidRDefault="00475E6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Suppliers should participate in further competitions when identified as part of the final bidder list. Failure to bid on further competitions without an acceptable reason may result in the Supplier being suspended from the Framework, in accordance with Cla</w:t>
      </w:r>
      <w:r>
        <w:rPr>
          <w:rFonts w:ascii="Arial" w:eastAsia="Arial" w:hAnsi="Arial" w:cs="Arial"/>
          <w:color w:val="000000"/>
          <w:sz w:val="24"/>
          <w:szCs w:val="24"/>
        </w:rPr>
        <w:t xml:space="preserve">use 10.7 (Partially ending and suspending the contract), for a period as decided by CCS. </w:t>
      </w:r>
    </w:p>
    <w:p w:rsidR="00BA3744" w:rsidRDefault="00475E69">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2" w:name="_heading=h.1fob9te" w:colFirst="0" w:colLast="0"/>
      <w:bookmarkEnd w:id="2"/>
      <w:r>
        <w:rPr>
          <w:rFonts w:ascii="Arial" w:eastAsia="Arial" w:hAnsi="Arial" w:cs="Arial"/>
          <w:b/>
          <w:color w:val="000000"/>
          <w:sz w:val="24"/>
          <w:szCs w:val="24"/>
        </w:rPr>
        <w:t>Supplier Review Meetings</w:t>
      </w:r>
    </w:p>
    <w:p w:rsidR="00BA3744" w:rsidRDefault="00475E69">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3" w:name="_heading=h.3znysh7" w:colFirst="0" w:colLast="0"/>
      <w:bookmarkEnd w:id="3"/>
      <w:r>
        <w:rPr>
          <w:rFonts w:ascii="Arial" w:eastAsia="Arial" w:hAnsi="Arial" w:cs="Arial"/>
          <w:color w:val="000000"/>
          <w:sz w:val="24"/>
          <w:szCs w:val="24"/>
        </w:rPr>
        <w:t>Regular performance review meetings will take place at CCS’s premises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w:t>
      </w:r>
      <w:r>
        <w:rPr>
          <w:rFonts w:ascii="Arial" w:eastAsia="Arial" w:hAnsi="Arial" w:cs="Arial"/>
          <w:color w:val="000000"/>
          <w:sz w:val="24"/>
          <w:szCs w:val="24"/>
        </w:rPr>
        <w:t xml:space="preserve">t such times and frequencies as CCS determine from time to time (which are anticipated to be once every </w:t>
      </w:r>
      <w:r>
        <w:rPr>
          <w:rFonts w:ascii="Arial" w:eastAsia="Arial" w:hAnsi="Arial" w:cs="Arial"/>
          <w:sz w:val="24"/>
          <w:szCs w:val="24"/>
        </w:rPr>
        <w:t>Quarter</w:t>
      </w:r>
      <w:r>
        <w:rPr>
          <w:rFonts w:ascii="Arial" w:eastAsia="Arial" w:hAnsi="Arial" w:cs="Arial"/>
          <w:color w:val="000000"/>
          <w:sz w:val="24"/>
          <w:szCs w:val="24"/>
        </w:rPr>
        <w:t xml:space="preserve"> or less)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rsidR="00BA3744" w:rsidRDefault="00475E69">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will review the Supplier’s performanc</w:t>
      </w:r>
      <w:r>
        <w:rPr>
          <w:rFonts w:ascii="Arial" w:eastAsia="Arial" w:hAnsi="Arial" w:cs="Arial"/>
          <w:color w:val="000000"/>
          <w:sz w:val="24"/>
          <w:szCs w:val="24"/>
        </w:rPr>
        <w:t>e under this Contract, including agree strategic objectives, resolve issues, identify potential business opportunities and innovative solutions and, where applicable, the Supplier’s adherence to the Supplier Action Plan. The agenda for each Supplier Review</w:t>
      </w:r>
      <w:r>
        <w:rPr>
          <w:rFonts w:ascii="Arial" w:eastAsia="Arial" w:hAnsi="Arial" w:cs="Arial"/>
          <w:color w:val="000000"/>
          <w:sz w:val="24"/>
          <w:szCs w:val="24"/>
        </w:rPr>
        <w:t xml:space="preserve"> Meeting shall be set by CCS and sent to the Supplier in advance.</w:t>
      </w:r>
    </w:p>
    <w:p w:rsidR="00BA3744" w:rsidRDefault="00475E69">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CCS may ask the Supplier to discuss any instances known to the Supplier where any Other Contracting Authority decided not to use this Framework Contract for their order.</w:t>
      </w:r>
    </w:p>
    <w:p w:rsidR="00BA3744" w:rsidRDefault="00475E69">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Review </w:t>
      </w:r>
      <w:r>
        <w:rPr>
          <w:rFonts w:ascii="Arial" w:eastAsia="Arial" w:hAnsi="Arial" w:cs="Arial"/>
          <w:color w:val="000000"/>
          <w:sz w:val="24"/>
          <w:szCs w:val="24"/>
        </w:rPr>
        <w:t>Meetings shall be attended, as a minimum, by CCS Representative(s) and the Supplier Framework Manager.</w:t>
      </w:r>
    </w:p>
    <w:p w:rsidR="00BA3744" w:rsidRDefault="00BA3744">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BA3744" w:rsidRDefault="00475E69">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How the Supplier’s Performance will be measured</w:t>
      </w:r>
    </w:p>
    <w:p w:rsidR="00BA3744" w:rsidRDefault="00475E69">
      <w:pPr>
        <w:keepNext/>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tbl>
      <w:tblPr>
        <w:tblStyle w:val="a3"/>
        <w:tblW w:w="85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68"/>
        <w:gridCol w:w="2551"/>
        <w:gridCol w:w="1418"/>
        <w:gridCol w:w="1417"/>
        <w:gridCol w:w="1462"/>
      </w:tblGrid>
      <w:tr w:rsidR="00BA3744">
        <w:trPr>
          <w:jc w:val="center"/>
        </w:trPr>
        <w:tc>
          <w:tcPr>
            <w:tcW w:w="166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A3744" w:rsidRDefault="00475E69">
            <w:pPr>
              <w:keepNext/>
              <w:widowControl w:val="0"/>
              <w:pBdr>
                <w:top w:val="nil"/>
                <w:left w:val="nil"/>
                <w:bottom w:val="nil"/>
                <w:right w:val="nil"/>
                <w:between w:val="nil"/>
              </w:pBdr>
              <w:spacing w:before="80" w:after="80"/>
              <w:jc w:val="center"/>
              <w:rPr>
                <w:rFonts w:ascii="Arial" w:eastAsia="Arial" w:hAnsi="Arial" w:cs="Arial"/>
                <w:b/>
                <w:highlight w:val="lightGray"/>
              </w:rPr>
            </w:pPr>
            <w:r>
              <w:rPr>
                <w:rFonts w:ascii="Arial" w:eastAsia="Arial" w:hAnsi="Arial" w:cs="Arial"/>
                <w:b/>
                <w:highlight w:val="lightGray"/>
              </w:rPr>
              <w:t>Performance Indicator (PI)</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cPr>
          <w:p w:rsidR="00BA3744" w:rsidRDefault="00475E69">
            <w:pPr>
              <w:keepNext/>
              <w:widowControl w:val="0"/>
              <w:pBdr>
                <w:top w:val="nil"/>
                <w:left w:val="nil"/>
                <w:bottom w:val="nil"/>
                <w:right w:val="nil"/>
                <w:between w:val="nil"/>
              </w:pBdr>
              <w:spacing w:before="80" w:after="80"/>
              <w:jc w:val="center"/>
              <w:rPr>
                <w:rFonts w:ascii="Arial" w:eastAsia="Arial" w:hAnsi="Arial" w:cs="Arial"/>
                <w:b/>
                <w:highlight w:val="lightGray"/>
              </w:rPr>
            </w:pPr>
            <w:r>
              <w:rPr>
                <w:rFonts w:ascii="Arial" w:eastAsia="Arial" w:hAnsi="Arial" w:cs="Arial"/>
                <w:b/>
                <w:highlight w:val="lightGray"/>
              </w:rPr>
              <w:t>Measured by</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A3744" w:rsidRDefault="00475E69">
            <w:pPr>
              <w:keepNext/>
              <w:widowControl w:val="0"/>
              <w:pBdr>
                <w:top w:val="nil"/>
                <w:left w:val="nil"/>
                <w:bottom w:val="nil"/>
                <w:right w:val="nil"/>
                <w:between w:val="nil"/>
              </w:pBdr>
              <w:spacing w:before="80" w:after="80"/>
              <w:jc w:val="center"/>
              <w:rPr>
                <w:rFonts w:ascii="Arial" w:eastAsia="Arial" w:hAnsi="Arial" w:cs="Arial"/>
                <w:b/>
                <w:highlight w:val="lightGray"/>
              </w:rPr>
            </w:pPr>
            <w:r>
              <w:rPr>
                <w:rFonts w:ascii="Arial" w:eastAsia="Arial" w:hAnsi="Arial" w:cs="Arial"/>
                <w:b/>
                <w:highlight w:val="lightGray"/>
              </w:rPr>
              <w:t>Method</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cPr>
          <w:p w:rsidR="00BA3744" w:rsidRDefault="00475E69">
            <w:pPr>
              <w:keepNext/>
              <w:widowControl w:val="0"/>
              <w:pBdr>
                <w:top w:val="nil"/>
                <w:left w:val="nil"/>
                <w:bottom w:val="nil"/>
                <w:right w:val="nil"/>
                <w:between w:val="nil"/>
              </w:pBdr>
              <w:spacing w:before="80" w:after="80"/>
              <w:jc w:val="center"/>
              <w:rPr>
                <w:rFonts w:ascii="Arial" w:eastAsia="Arial" w:hAnsi="Arial" w:cs="Arial"/>
                <w:b/>
                <w:highlight w:val="lightGray"/>
              </w:rPr>
            </w:pPr>
            <w:r>
              <w:rPr>
                <w:rFonts w:ascii="Arial" w:eastAsia="Arial" w:hAnsi="Arial" w:cs="Arial"/>
                <w:b/>
                <w:highlight w:val="lightGray"/>
              </w:rPr>
              <w:t>PI Target</w:t>
            </w:r>
          </w:p>
        </w:tc>
        <w:tc>
          <w:tcPr>
            <w:tcW w:w="146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A3744" w:rsidRDefault="00475E69">
            <w:pPr>
              <w:keepNext/>
              <w:widowControl w:val="0"/>
              <w:pBdr>
                <w:top w:val="nil"/>
                <w:left w:val="nil"/>
                <w:bottom w:val="nil"/>
                <w:right w:val="nil"/>
                <w:between w:val="nil"/>
              </w:pBdr>
              <w:spacing w:before="80" w:after="80"/>
              <w:jc w:val="center"/>
              <w:rPr>
                <w:rFonts w:ascii="Arial" w:eastAsia="Arial" w:hAnsi="Arial" w:cs="Arial"/>
                <w:b/>
                <w:highlight w:val="lightGray"/>
              </w:rPr>
            </w:pPr>
            <w:r>
              <w:rPr>
                <w:rFonts w:ascii="Arial" w:eastAsia="Arial" w:hAnsi="Arial" w:cs="Arial"/>
                <w:b/>
                <w:highlight w:val="lightGray"/>
              </w:rPr>
              <w:t>Lot Applicability</w:t>
            </w:r>
          </w:p>
        </w:tc>
      </w:tr>
      <w:tr w:rsidR="00BA3744">
        <w:trPr>
          <w:jc w:val="center"/>
        </w:trPr>
        <w:tc>
          <w:tcPr>
            <w:tcW w:w="8516" w:type="dxa"/>
            <w:gridSpan w:val="5"/>
            <w:tcBorders>
              <w:top w:val="single" w:sz="4" w:space="0" w:color="000000"/>
              <w:left w:val="single" w:sz="4" w:space="0" w:color="000000"/>
              <w:bottom w:val="single" w:sz="4" w:space="0" w:color="000000"/>
              <w:right w:val="single" w:sz="4" w:space="0" w:color="000000"/>
            </w:tcBorders>
          </w:tcPr>
          <w:p w:rsidR="00BA3744" w:rsidRDefault="00475E69">
            <w:pPr>
              <w:keepNext/>
              <w:widowControl w:val="0"/>
              <w:pBdr>
                <w:top w:val="nil"/>
                <w:left w:val="nil"/>
                <w:bottom w:val="nil"/>
                <w:right w:val="nil"/>
                <w:between w:val="nil"/>
              </w:pBdr>
              <w:spacing w:before="80" w:after="80"/>
              <w:ind w:left="142"/>
              <w:jc w:val="center"/>
              <w:rPr>
                <w:rFonts w:ascii="Arial" w:eastAsia="Arial" w:hAnsi="Arial" w:cs="Arial"/>
              </w:rPr>
            </w:pPr>
            <w:r>
              <w:rPr>
                <w:rFonts w:ascii="Arial" w:eastAsia="Arial" w:hAnsi="Arial" w:cs="Arial"/>
                <w:b/>
              </w:rPr>
              <w:t>[Description of PI]</w:t>
            </w:r>
          </w:p>
        </w:tc>
      </w:tr>
      <w:tr w:rsidR="00BA3744">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Monthly MI submission </w:t>
            </w:r>
          </w:p>
        </w:tc>
        <w:tc>
          <w:tcPr>
            <w:tcW w:w="2551" w:type="dxa"/>
            <w:tcBorders>
              <w:top w:val="single" w:sz="4" w:space="0" w:color="000000"/>
              <w:left w:val="single" w:sz="4" w:space="0" w:color="000000"/>
              <w:bottom w:val="single" w:sz="4" w:space="0" w:color="000000"/>
              <w:right w:val="single" w:sz="4" w:space="0" w:color="000000"/>
            </w:tcBorders>
          </w:tcPr>
          <w:p w:rsidR="00BA3744" w:rsidRDefault="00BA3744">
            <w:pPr>
              <w:widowControl w:val="0"/>
              <w:pBdr>
                <w:top w:val="nil"/>
                <w:left w:val="nil"/>
                <w:bottom w:val="nil"/>
                <w:right w:val="nil"/>
                <w:between w:val="nil"/>
              </w:pBdr>
              <w:spacing w:before="80"/>
              <w:rPr>
                <w:rFonts w:ascii="Arial" w:eastAsia="Arial" w:hAnsi="Arial" w:cs="Arial"/>
              </w:rPr>
            </w:pP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Submission of accurate and timely, Management Information to be received in the agreed format on or before DWH close (PI Target)</w:t>
            </w:r>
          </w:p>
          <w:p w:rsidR="00BA3744" w:rsidRDefault="00BA3744">
            <w:pPr>
              <w:keepNext/>
              <w:widowControl w:val="0"/>
              <w:pBdr>
                <w:top w:val="nil"/>
                <w:left w:val="nil"/>
                <w:bottom w:val="nil"/>
                <w:right w:val="nil"/>
                <w:between w:val="nil"/>
              </w:pBdr>
              <w:spacing w:before="80" w:after="80"/>
              <w:ind w:left="142"/>
              <w:rPr>
                <w:rFonts w:ascii="Arial" w:eastAsia="Arial" w:hAnsi="Arial" w:cs="Arial"/>
              </w:rPr>
            </w:pPr>
          </w:p>
          <w:p w:rsidR="00BA3744" w:rsidRDefault="00BA3744">
            <w:pPr>
              <w:keepNext/>
              <w:widowControl w:val="0"/>
              <w:pBdr>
                <w:top w:val="nil"/>
                <w:left w:val="nil"/>
                <w:bottom w:val="nil"/>
                <w:right w:val="nil"/>
                <w:between w:val="nil"/>
              </w:pBdr>
              <w:spacing w:before="80" w:after="80"/>
              <w:rPr>
                <w:rFonts w:ascii="Arial" w:eastAsia="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MISO Template</w:t>
            </w:r>
          </w:p>
          <w:p w:rsidR="00BA3744" w:rsidRDefault="00BA3744">
            <w:pPr>
              <w:keepNext/>
              <w:widowControl w:val="0"/>
              <w:pBdr>
                <w:top w:val="nil"/>
                <w:left w:val="nil"/>
                <w:bottom w:val="nil"/>
                <w:right w:val="nil"/>
                <w:between w:val="nil"/>
              </w:pBdr>
              <w:spacing w:before="80" w:after="80"/>
              <w:ind w:left="142"/>
              <w:rPr>
                <w:rFonts w:ascii="Arial" w:eastAsia="Arial" w:hAnsi="Arial" w:cs="Arial"/>
              </w:rPr>
            </w:pPr>
          </w:p>
        </w:tc>
        <w:tc>
          <w:tcPr>
            <w:tcW w:w="1417" w:type="dxa"/>
            <w:tcBorders>
              <w:top w:val="single" w:sz="4" w:space="0" w:color="000000"/>
              <w:left w:val="single" w:sz="4" w:space="0" w:color="000000"/>
              <w:bottom w:val="single" w:sz="4" w:space="0" w:color="000000"/>
              <w:right w:val="single" w:sz="4" w:space="0" w:color="000000"/>
            </w:tcBorders>
          </w:tcPr>
          <w:p w:rsidR="00BA3744" w:rsidRDefault="00BA3744">
            <w:pPr>
              <w:widowControl w:val="0"/>
              <w:pBdr>
                <w:top w:val="nil"/>
                <w:left w:val="nil"/>
                <w:bottom w:val="nil"/>
                <w:right w:val="nil"/>
                <w:between w:val="nil"/>
              </w:pBdr>
              <w:spacing w:before="80"/>
              <w:rPr>
                <w:rFonts w:ascii="Arial" w:eastAsia="Arial" w:hAnsi="Arial" w:cs="Arial"/>
              </w:rPr>
            </w:pPr>
          </w:p>
          <w:p w:rsidR="00BA3744" w:rsidRDefault="00BA3744">
            <w:pPr>
              <w:widowControl w:val="0"/>
              <w:pBdr>
                <w:top w:val="nil"/>
                <w:left w:val="nil"/>
                <w:bottom w:val="nil"/>
                <w:right w:val="nil"/>
                <w:between w:val="nil"/>
              </w:pBdr>
              <w:spacing w:before="80"/>
              <w:rPr>
                <w:rFonts w:ascii="Arial" w:eastAsia="Arial" w:hAnsi="Arial" w:cs="Arial"/>
              </w:rPr>
            </w:pP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As per Framework Schedule 5 section 2</w:t>
            </w:r>
          </w:p>
        </w:tc>
        <w:tc>
          <w:tcPr>
            <w:tcW w:w="1462"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1 </w:t>
            </w:r>
            <w:r>
              <w:rPr>
                <w:noProof/>
              </w:rPr>
              <w:drawing>
                <wp:inline distT="0" distB="0" distL="0" distR="0">
                  <wp:extent cx="203200" cy="203200"/>
                  <wp:effectExtent l="0" t="0" r="0" b="0"/>
                  <wp:docPr id="8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extent cx="203200" cy="203200"/>
                  <wp:effectExtent l="0" t="0" r="0" b="0"/>
                  <wp:docPr id="8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extent cx="203200" cy="203200"/>
                  <wp:effectExtent l="0" t="0" r="0" b="0"/>
                  <wp:docPr id="8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4 </w:t>
            </w:r>
            <w:r>
              <w:rPr>
                <w:noProof/>
              </w:rPr>
              <w:drawing>
                <wp:inline distT="0" distB="0" distL="0" distR="0">
                  <wp:extent cx="203200" cy="203200"/>
                  <wp:effectExtent l="0" t="0" r="0" b="0"/>
                  <wp:docPr id="8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tc>
      </w:tr>
      <w:tr w:rsidR="00BA3744">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Annual Self Audit Certificate </w:t>
            </w:r>
          </w:p>
        </w:tc>
        <w:tc>
          <w:tcPr>
            <w:tcW w:w="2551" w:type="dxa"/>
            <w:tcBorders>
              <w:top w:val="single" w:sz="4" w:space="0" w:color="000000"/>
              <w:left w:val="single" w:sz="4" w:space="0" w:color="000000"/>
              <w:bottom w:val="single" w:sz="4" w:space="0" w:color="000000"/>
              <w:right w:val="single" w:sz="4" w:space="0" w:color="000000"/>
            </w:tcBorders>
          </w:tcPr>
          <w:p w:rsidR="00BA3744" w:rsidRDefault="00BA3744">
            <w:pPr>
              <w:widowControl w:val="0"/>
              <w:pBdr>
                <w:top w:val="nil"/>
                <w:left w:val="nil"/>
                <w:bottom w:val="nil"/>
                <w:right w:val="nil"/>
                <w:between w:val="nil"/>
              </w:pBdr>
              <w:spacing w:after="80"/>
              <w:rPr>
                <w:rFonts w:ascii="Arial" w:eastAsia="Arial" w:hAnsi="Arial" w:cs="Arial"/>
              </w:rPr>
            </w:pPr>
          </w:p>
          <w:p w:rsidR="00BA3744" w:rsidRDefault="00475E69">
            <w:pPr>
              <w:widowControl w:val="0"/>
              <w:pBdr>
                <w:top w:val="nil"/>
                <w:left w:val="nil"/>
                <w:bottom w:val="nil"/>
                <w:right w:val="nil"/>
                <w:between w:val="nil"/>
              </w:pBdr>
              <w:spacing w:after="80"/>
              <w:rPr>
                <w:rFonts w:ascii="Arial" w:eastAsia="Arial" w:hAnsi="Arial" w:cs="Arial"/>
              </w:rPr>
            </w:pPr>
            <w:r>
              <w:rPr>
                <w:rFonts w:ascii="Arial" w:eastAsia="Arial" w:hAnsi="Arial" w:cs="Arial"/>
              </w:rPr>
              <w:t>Provision of annual Self Audit Certificate and audit report to CCS on each anniversary of the Framework Start Date.</w:t>
            </w:r>
          </w:p>
          <w:p w:rsidR="00BA3744" w:rsidRDefault="00475E69">
            <w:pPr>
              <w:keepNext/>
              <w:widowControl w:val="0"/>
              <w:pBdr>
                <w:top w:val="nil"/>
                <w:left w:val="nil"/>
                <w:bottom w:val="nil"/>
                <w:right w:val="nil"/>
                <w:between w:val="nil"/>
              </w:pBdr>
              <w:spacing w:before="80" w:after="80"/>
              <w:rPr>
                <w:rFonts w:ascii="Arial" w:eastAsia="Arial" w:hAnsi="Arial" w:cs="Arial"/>
              </w:rPr>
            </w:pPr>
            <w:r>
              <w:rPr>
                <w:rFonts w:ascii="Arial" w:eastAsia="Arial" w:hAnsi="Arial" w:cs="Arial"/>
              </w:rPr>
              <w:t>Completion of any action identified through a CCS Audit within the agreed timescales.</w:t>
            </w:r>
          </w:p>
          <w:p w:rsidR="00BA3744" w:rsidRDefault="00BA3744">
            <w:pPr>
              <w:keepNext/>
              <w:widowControl w:val="0"/>
              <w:pBdr>
                <w:top w:val="nil"/>
                <w:left w:val="nil"/>
                <w:bottom w:val="nil"/>
                <w:right w:val="nil"/>
                <w:between w:val="nil"/>
              </w:pBdr>
              <w:spacing w:before="80" w:after="80"/>
              <w:rPr>
                <w:rFonts w:ascii="Arial" w:eastAsia="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BA3744" w:rsidRDefault="00475E69">
            <w:pPr>
              <w:keepNext/>
              <w:widowControl w:val="0"/>
              <w:pBdr>
                <w:top w:val="nil"/>
                <w:left w:val="nil"/>
                <w:bottom w:val="nil"/>
                <w:right w:val="nil"/>
                <w:between w:val="nil"/>
              </w:pBdr>
              <w:spacing w:before="80" w:after="80"/>
              <w:rPr>
                <w:rFonts w:ascii="Arial" w:eastAsia="Arial" w:hAnsi="Arial" w:cs="Arial"/>
              </w:rPr>
            </w:pPr>
            <w:proofErr w:type="spellStart"/>
            <w:r>
              <w:rPr>
                <w:rFonts w:ascii="Arial" w:eastAsia="Arial" w:hAnsi="Arial" w:cs="Arial"/>
              </w:rPr>
              <w:t>Self audit</w:t>
            </w:r>
            <w:proofErr w:type="spellEnd"/>
            <w:r>
              <w:rPr>
                <w:rFonts w:ascii="Arial" w:eastAsia="Arial" w:hAnsi="Arial" w:cs="Arial"/>
              </w:rPr>
              <w:t xml:space="preserve"> certificate as per Framework Schedule 8</w:t>
            </w:r>
          </w:p>
        </w:tc>
        <w:tc>
          <w:tcPr>
            <w:tcW w:w="1417" w:type="dxa"/>
            <w:tcBorders>
              <w:top w:val="single" w:sz="4" w:space="0" w:color="000000"/>
              <w:left w:val="single" w:sz="4" w:space="0" w:color="000000"/>
              <w:bottom w:val="single" w:sz="4" w:space="0" w:color="000000"/>
              <w:right w:val="single" w:sz="4" w:space="0" w:color="000000"/>
            </w:tcBorders>
          </w:tcPr>
          <w:p w:rsidR="00BA3744" w:rsidRDefault="00BA3744">
            <w:pPr>
              <w:keepNext/>
              <w:widowControl w:val="0"/>
              <w:pBdr>
                <w:top w:val="nil"/>
                <w:left w:val="nil"/>
                <w:bottom w:val="nil"/>
                <w:right w:val="nil"/>
                <w:between w:val="nil"/>
              </w:pBdr>
              <w:spacing w:before="80" w:after="80"/>
              <w:rPr>
                <w:rFonts w:ascii="Arial" w:eastAsia="Arial" w:hAnsi="Arial" w:cs="Arial"/>
              </w:rPr>
            </w:pPr>
          </w:p>
          <w:p w:rsidR="00BA3744" w:rsidRDefault="00BA3744">
            <w:pPr>
              <w:keepNext/>
              <w:widowControl w:val="0"/>
              <w:pBdr>
                <w:top w:val="nil"/>
                <w:left w:val="nil"/>
                <w:bottom w:val="nil"/>
                <w:right w:val="nil"/>
                <w:between w:val="nil"/>
              </w:pBdr>
              <w:spacing w:before="80" w:after="80"/>
              <w:rPr>
                <w:rFonts w:ascii="Arial" w:eastAsia="Arial" w:hAnsi="Arial" w:cs="Arial"/>
              </w:rPr>
            </w:pPr>
          </w:p>
          <w:p w:rsidR="00BA3744" w:rsidRDefault="00475E69">
            <w:pPr>
              <w:keepNext/>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Annually on anniversary of Agreement start date </w:t>
            </w:r>
          </w:p>
          <w:p w:rsidR="00BA3744" w:rsidRDefault="00BA3744">
            <w:pPr>
              <w:widowControl w:val="0"/>
              <w:pBdr>
                <w:top w:val="nil"/>
                <w:left w:val="nil"/>
                <w:bottom w:val="nil"/>
                <w:right w:val="nil"/>
                <w:between w:val="nil"/>
              </w:pBdr>
              <w:spacing w:after="80"/>
              <w:ind w:left="141"/>
              <w:rPr>
                <w:rFonts w:ascii="Arial" w:eastAsia="Arial" w:hAnsi="Arial" w:cs="Arial"/>
              </w:rPr>
            </w:pPr>
          </w:p>
        </w:tc>
        <w:tc>
          <w:tcPr>
            <w:tcW w:w="1462"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1 </w:t>
            </w:r>
            <w:r>
              <w:rPr>
                <w:noProof/>
              </w:rPr>
              <w:drawing>
                <wp:inline distT="0" distB="0" distL="0" distR="0">
                  <wp:extent cx="203200" cy="203200"/>
                  <wp:effectExtent l="0" t="0" r="0" b="0"/>
                  <wp:docPr id="8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extent cx="203200" cy="203200"/>
                  <wp:effectExtent l="0" t="0" r="0" b="0"/>
                  <wp:docPr id="8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extent cx="203200" cy="203200"/>
                  <wp:effectExtent l="0" t="0" r="0" b="0"/>
                  <wp:docPr id="8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4 </w:t>
            </w:r>
            <w:r>
              <w:rPr>
                <w:noProof/>
              </w:rPr>
              <w:drawing>
                <wp:inline distT="0" distB="0" distL="0" distR="0">
                  <wp:extent cx="203200" cy="203200"/>
                  <wp:effectExtent l="0" t="0" r="0" b="0"/>
                  <wp:docPr id="9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BA3744">
            <w:pPr>
              <w:widowControl w:val="0"/>
              <w:pBdr>
                <w:top w:val="nil"/>
                <w:left w:val="nil"/>
                <w:bottom w:val="nil"/>
                <w:right w:val="nil"/>
                <w:between w:val="nil"/>
              </w:pBdr>
              <w:spacing w:before="80" w:after="80"/>
              <w:rPr>
                <w:rFonts w:ascii="Arial" w:eastAsia="Arial" w:hAnsi="Arial" w:cs="Arial"/>
              </w:rPr>
            </w:pPr>
          </w:p>
        </w:tc>
      </w:tr>
      <w:tr w:rsidR="00BA3744">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Management Charges </w:t>
            </w:r>
          </w:p>
        </w:tc>
        <w:tc>
          <w:tcPr>
            <w:tcW w:w="2551" w:type="dxa"/>
            <w:tcBorders>
              <w:top w:val="single" w:sz="4" w:space="0" w:color="000000"/>
              <w:left w:val="single" w:sz="4" w:space="0" w:color="000000"/>
              <w:bottom w:val="single" w:sz="4" w:space="0" w:color="000000"/>
              <w:right w:val="single" w:sz="4" w:space="0" w:color="000000"/>
            </w:tcBorders>
          </w:tcPr>
          <w:p w:rsidR="00BA3744" w:rsidRDefault="00BA3744">
            <w:pPr>
              <w:keepNext/>
              <w:widowControl w:val="0"/>
              <w:pBdr>
                <w:top w:val="nil"/>
                <w:left w:val="nil"/>
                <w:bottom w:val="nil"/>
                <w:right w:val="nil"/>
                <w:between w:val="nil"/>
              </w:pBdr>
              <w:spacing w:before="80" w:after="80"/>
              <w:ind w:left="142"/>
              <w:rPr>
                <w:rFonts w:ascii="Arial" w:eastAsia="Arial" w:hAnsi="Arial" w:cs="Arial"/>
              </w:rPr>
            </w:pPr>
          </w:p>
          <w:p w:rsidR="00BA3744" w:rsidRDefault="00475E69">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Timely payment of the Management Charge</w:t>
            </w:r>
          </w:p>
          <w:p w:rsidR="00BA3744" w:rsidRDefault="00BA3744">
            <w:pPr>
              <w:keepNext/>
              <w:widowControl w:val="0"/>
              <w:pBdr>
                <w:top w:val="nil"/>
                <w:left w:val="nil"/>
                <w:bottom w:val="nil"/>
                <w:right w:val="nil"/>
                <w:between w:val="nil"/>
              </w:pBdr>
              <w:spacing w:before="80" w:after="80"/>
              <w:ind w:left="142"/>
              <w:rPr>
                <w:rFonts w:ascii="Arial" w:eastAsia="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BA3744" w:rsidRDefault="00475E69">
            <w:pPr>
              <w:keepNext/>
              <w:widowControl w:val="0"/>
              <w:pBdr>
                <w:top w:val="nil"/>
                <w:left w:val="nil"/>
                <w:bottom w:val="nil"/>
                <w:right w:val="nil"/>
                <w:between w:val="nil"/>
              </w:pBdr>
              <w:spacing w:before="80" w:after="80"/>
              <w:ind w:left="142"/>
              <w:rPr>
                <w:rFonts w:ascii="Arial" w:eastAsia="Arial" w:hAnsi="Arial" w:cs="Arial"/>
              </w:rPr>
            </w:pPr>
            <w:r>
              <w:rPr>
                <w:rFonts w:ascii="Arial" w:eastAsia="Arial" w:hAnsi="Arial" w:cs="Arial"/>
              </w:rPr>
              <w:t>N/a</w:t>
            </w:r>
          </w:p>
          <w:p w:rsidR="00BA3744" w:rsidRDefault="00BA3744">
            <w:pPr>
              <w:widowControl w:val="0"/>
              <w:pBdr>
                <w:top w:val="nil"/>
                <w:left w:val="nil"/>
                <w:bottom w:val="nil"/>
                <w:right w:val="nil"/>
                <w:between w:val="nil"/>
              </w:pBdr>
              <w:spacing w:before="80" w:after="80"/>
              <w:ind w:left="141"/>
              <w:rPr>
                <w:rFonts w:ascii="Arial" w:eastAsia="Arial" w:hAnsi="Arial" w:cs="Arial"/>
              </w:rPr>
            </w:pPr>
          </w:p>
        </w:tc>
        <w:tc>
          <w:tcPr>
            <w:tcW w:w="1417" w:type="dxa"/>
            <w:tcBorders>
              <w:top w:val="single" w:sz="4" w:space="0" w:color="000000"/>
              <w:left w:val="single" w:sz="4" w:space="0" w:color="000000"/>
              <w:bottom w:val="single" w:sz="4" w:space="0" w:color="000000"/>
              <w:right w:val="single" w:sz="4" w:space="0" w:color="000000"/>
            </w:tcBorders>
          </w:tcPr>
          <w:p w:rsidR="00BA3744" w:rsidRDefault="00475E69">
            <w:pPr>
              <w:widowControl w:val="0"/>
              <w:pBdr>
                <w:top w:val="nil"/>
                <w:left w:val="nil"/>
                <w:bottom w:val="nil"/>
                <w:right w:val="nil"/>
                <w:between w:val="nil"/>
              </w:pBdr>
              <w:spacing w:before="80" w:after="80"/>
              <w:ind w:left="141"/>
              <w:rPr>
                <w:rFonts w:ascii="Arial" w:eastAsia="Arial" w:hAnsi="Arial" w:cs="Arial"/>
              </w:rPr>
            </w:pPr>
            <w:r>
              <w:rPr>
                <w:rFonts w:ascii="Arial" w:eastAsia="Arial" w:hAnsi="Arial" w:cs="Arial"/>
              </w:rPr>
              <w:t>Within thirty (30) days following receipt of an undisputed invoice as per Framework Schedule 5 section 5</w:t>
            </w:r>
          </w:p>
        </w:tc>
        <w:tc>
          <w:tcPr>
            <w:tcW w:w="1462"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1 </w:t>
            </w:r>
            <w:r>
              <w:rPr>
                <w:noProof/>
              </w:rPr>
              <w:drawing>
                <wp:inline distT="0" distB="0" distL="0" distR="0">
                  <wp:extent cx="203200" cy="203200"/>
                  <wp:effectExtent l="0" t="0" r="0" b="0"/>
                  <wp:docPr id="9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extent cx="203200" cy="203200"/>
                  <wp:effectExtent l="0" t="0" r="0" b="0"/>
                  <wp:docPr id="9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extent cx="203200" cy="203200"/>
                  <wp:effectExtent l="0" t="0" r="0" b="0"/>
                  <wp:docPr id="9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4 </w:t>
            </w:r>
            <w:r>
              <w:rPr>
                <w:noProof/>
              </w:rPr>
              <w:drawing>
                <wp:inline distT="0" distB="0" distL="0" distR="0">
                  <wp:extent cx="203200" cy="203200"/>
                  <wp:effectExtent l="0" t="0" r="0" b="0"/>
                  <wp:docPr id="9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BA3744">
            <w:pPr>
              <w:widowControl w:val="0"/>
              <w:pBdr>
                <w:top w:val="nil"/>
                <w:left w:val="nil"/>
                <w:bottom w:val="nil"/>
                <w:right w:val="nil"/>
                <w:between w:val="nil"/>
              </w:pBdr>
              <w:spacing w:before="80" w:after="80"/>
              <w:rPr>
                <w:rFonts w:ascii="Arial" w:eastAsia="Arial" w:hAnsi="Arial" w:cs="Arial"/>
              </w:rPr>
            </w:pPr>
          </w:p>
        </w:tc>
      </w:tr>
      <w:tr w:rsidR="00BA3744">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Framework Assurance </w:t>
            </w:r>
          </w:p>
        </w:tc>
        <w:tc>
          <w:tcPr>
            <w:tcW w:w="2551" w:type="dxa"/>
            <w:tcBorders>
              <w:top w:val="single" w:sz="4" w:space="0" w:color="000000"/>
              <w:left w:val="single" w:sz="4" w:space="0" w:color="000000"/>
              <w:bottom w:val="single" w:sz="4" w:space="0" w:color="000000"/>
              <w:right w:val="single" w:sz="4" w:space="0" w:color="000000"/>
            </w:tcBorders>
          </w:tcPr>
          <w:p w:rsidR="00BA3744" w:rsidRDefault="00BA3744">
            <w:pPr>
              <w:keepNext/>
              <w:widowControl w:val="0"/>
              <w:pBdr>
                <w:top w:val="nil"/>
                <w:left w:val="nil"/>
                <w:bottom w:val="nil"/>
                <w:right w:val="nil"/>
                <w:between w:val="nil"/>
              </w:pBdr>
              <w:spacing w:before="80" w:after="80"/>
              <w:ind w:left="142"/>
              <w:rPr>
                <w:rFonts w:ascii="Arial" w:eastAsia="Arial" w:hAnsi="Arial" w:cs="Arial"/>
              </w:rPr>
            </w:pPr>
          </w:p>
          <w:p w:rsidR="00BA3744" w:rsidRDefault="00BA3744">
            <w:pPr>
              <w:keepNext/>
              <w:widowControl w:val="0"/>
              <w:pBdr>
                <w:top w:val="nil"/>
                <w:left w:val="nil"/>
                <w:bottom w:val="nil"/>
                <w:right w:val="nil"/>
                <w:between w:val="nil"/>
              </w:pBdr>
              <w:spacing w:before="80" w:after="80"/>
              <w:ind w:left="142"/>
              <w:rPr>
                <w:rFonts w:ascii="Arial" w:eastAsia="Arial" w:hAnsi="Arial" w:cs="Arial"/>
              </w:rPr>
            </w:pPr>
          </w:p>
          <w:p w:rsidR="00BA3744" w:rsidRDefault="00475E69">
            <w:pPr>
              <w:keepNext/>
              <w:widowControl w:val="0"/>
              <w:pBdr>
                <w:top w:val="nil"/>
                <w:left w:val="nil"/>
                <w:bottom w:val="nil"/>
                <w:right w:val="nil"/>
                <w:between w:val="nil"/>
              </w:pBdr>
              <w:spacing w:before="80" w:after="80"/>
              <w:ind w:left="142"/>
              <w:rPr>
                <w:rFonts w:ascii="Arial" w:eastAsia="Arial" w:hAnsi="Arial" w:cs="Arial"/>
              </w:rPr>
            </w:pPr>
            <w:r>
              <w:rPr>
                <w:rFonts w:ascii="Arial" w:eastAsia="Arial" w:hAnsi="Arial" w:cs="Arial"/>
              </w:rPr>
              <w:t xml:space="preserve">Timely submission of certification to evidence compliance to Insurance/standards &amp; Security requirements </w:t>
            </w:r>
          </w:p>
          <w:p w:rsidR="00BA3744" w:rsidRDefault="00BA3744">
            <w:pPr>
              <w:widowControl w:val="0"/>
              <w:pBdr>
                <w:top w:val="nil"/>
                <w:left w:val="nil"/>
                <w:bottom w:val="nil"/>
                <w:right w:val="nil"/>
                <w:between w:val="nil"/>
              </w:pBdr>
              <w:rPr>
                <w:rFonts w:ascii="Arial" w:eastAsia="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rPr>
                <w:rFonts w:ascii="Arial" w:eastAsia="Arial" w:hAnsi="Arial" w:cs="Arial"/>
              </w:rPr>
            </w:pPr>
            <w:r>
              <w:rPr>
                <w:rFonts w:ascii="Arial" w:eastAsia="Arial" w:hAnsi="Arial" w:cs="Arial"/>
              </w:rPr>
              <w:t>Insurance</w:t>
            </w:r>
          </w:p>
          <w:p w:rsidR="00BA3744" w:rsidRDefault="00475E69">
            <w:pPr>
              <w:widowControl w:val="0"/>
              <w:pBdr>
                <w:top w:val="nil"/>
                <w:left w:val="nil"/>
                <w:bottom w:val="nil"/>
                <w:right w:val="nil"/>
                <w:between w:val="nil"/>
              </w:pBdr>
              <w:rPr>
                <w:rFonts w:ascii="Arial" w:eastAsia="Arial" w:hAnsi="Arial" w:cs="Arial"/>
              </w:rPr>
            </w:pPr>
            <w:r>
              <w:rPr>
                <w:rFonts w:ascii="Arial" w:eastAsia="Arial" w:hAnsi="Arial" w:cs="Arial"/>
              </w:rPr>
              <w:t>Accreditation</w:t>
            </w:r>
          </w:p>
          <w:p w:rsidR="00BA3744" w:rsidRDefault="00475E69">
            <w:pPr>
              <w:widowControl w:val="0"/>
              <w:pBdr>
                <w:top w:val="nil"/>
                <w:left w:val="nil"/>
                <w:bottom w:val="nil"/>
                <w:right w:val="nil"/>
                <w:between w:val="nil"/>
              </w:pBdr>
              <w:rPr>
                <w:rFonts w:ascii="Arial" w:eastAsia="Arial" w:hAnsi="Arial" w:cs="Arial"/>
              </w:rPr>
            </w:pPr>
            <w:r>
              <w:rPr>
                <w:rFonts w:ascii="Arial" w:eastAsia="Arial" w:hAnsi="Arial" w:cs="Arial"/>
              </w:rPr>
              <w:t>Certification</w:t>
            </w:r>
          </w:p>
          <w:p w:rsidR="00BA3744" w:rsidRDefault="00BA3744">
            <w:pPr>
              <w:keepNext/>
              <w:widowControl w:val="0"/>
              <w:pBdr>
                <w:top w:val="nil"/>
                <w:left w:val="nil"/>
                <w:bottom w:val="nil"/>
                <w:right w:val="nil"/>
                <w:between w:val="nil"/>
              </w:pBdr>
              <w:spacing w:before="80" w:after="80"/>
              <w:ind w:left="142"/>
              <w:rPr>
                <w:rFonts w:ascii="Arial" w:eastAsia="Arial" w:hAnsi="Arial" w:cs="Arial"/>
              </w:rPr>
            </w:pPr>
          </w:p>
        </w:tc>
        <w:tc>
          <w:tcPr>
            <w:tcW w:w="1417" w:type="dxa"/>
            <w:tcBorders>
              <w:top w:val="single" w:sz="4" w:space="0" w:color="000000"/>
              <w:left w:val="single" w:sz="4" w:space="0" w:color="000000"/>
              <w:bottom w:val="single" w:sz="4" w:space="0" w:color="000000"/>
              <w:right w:val="single" w:sz="4" w:space="0" w:color="000000"/>
            </w:tcBorders>
          </w:tcPr>
          <w:p w:rsidR="00BA3744" w:rsidRDefault="00BA3744">
            <w:pPr>
              <w:widowControl w:val="0"/>
              <w:pBdr>
                <w:top w:val="nil"/>
                <w:left w:val="nil"/>
                <w:bottom w:val="nil"/>
                <w:right w:val="nil"/>
                <w:between w:val="nil"/>
              </w:pBdr>
              <w:rPr>
                <w:rFonts w:ascii="Arial" w:eastAsia="Arial" w:hAnsi="Arial" w:cs="Arial"/>
              </w:rPr>
            </w:pPr>
          </w:p>
          <w:p w:rsidR="00BA3744" w:rsidRDefault="00475E69">
            <w:pPr>
              <w:widowControl w:val="0"/>
              <w:pBdr>
                <w:top w:val="nil"/>
                <w:left w:val="nil"/>
                <w:bottom w:val="nil"/>
                <w:right w:val="nil"/>
                <w:between w:val="nil"/>
              </w:pBdr>
              <w:rPr>
                <w:rFonts w:ascii="Arial" w:eastAsia="Arial" w:hAnsi="Arial" w:cs="Arial"/>
              </w:rPr>
            </w:pPr>
            <w:r>
              <w:rPr>
                <w:rFonts w:ascii="Arial" w:eastAsia="Arial" w:hAnsi="Arial" w:cs="Arial"/>
              </w:rPr>
              <w:t>As per Framework Schedule 4 section 3.8</w:t>
            </w:r>
          </w:p>
        </w:tc>
        <w:tc>
          <w:tcPr>
            <w:tcW w:w="1462"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1 </w:t>
            </w:r>
            <w:r>
              <w:rPr>
                <w:noProof/>
              </w:rPr>
              <w:drawing>
                <wp:inline distT="0" distB="0" distL="0" distR="0">
                  <wp:extent cx="203200" cy="203200"/>
                  <wp:effectExtent l="0" t="0" r="0" b="0"/>
                  <wp:docPr id="9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extent cx="203200" cy="203200"/>
                  <wp:effectExtent l="0" t="0" r="0" b="0"/>
                  <wp:docPr id="9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extent cx="203200" cy="203200"/>
                  <wp:effectExtent l="0" t="0" r="0" b="0"/>
                  <wp:docPr id="9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4 </w:t>
            </w:r>
            <w:r>
              <w:rPr>
                <w:noProof/>
              </w:rPr>
              <w:drawing>
                <wp:inline distT="0" distB="0" distL="0" distR="0">
                  <wp:extent cx="203200" cy="203200"/>
                  <wp:effectExtent l="0" t="0" r="0" b="0"/>
                  <wp:docPr id="9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BA3744">
            <w:pPr>
              <w:widowControl w:val="0"/>
              <w:pBdr>
                <w:top w:val="nil"/>
                <w:left w:val="nil"/>
                <w:bottom w:val="nil"/>
                <w:right w:val="nil"/>
                <w:between w:val="nil"/>
              </w:pBdr>
              <w:rPr>
                <w:rFonts w:ascii="Arial" w:eastAsia="Arial" w:hAnsi="Arial" w:cs="Arial"/>
              </w:rPr>
            </w:pPr>
          </w:p>
        </w:tc>
      </w:tr>
      <w:tr w:rsidR="00BA3744">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spacing w:before="80" w:after="80"/>
              <w:rPr>
                <w:rFonts w:ascii="Arial" w:eastAsia="Arial" w:hAnsi="Arial" w:cs="Arial"/>
                <w:highlight w:val="yellow"/>
              </w:rPr>
            </w:pPr>
            <w:r>
              <w:rPr>
                <w:rFonts w:ascii="Arial" w:eastAsia="Arial" w:hAnsi="Arial" w:cs="Arial"/>
              </w:rPr>
              <w:t>Further Competition &amp;</w:t>
            </w:r>
            <w:r>
              <w:rPr>
                <w:rFonts w:ascii="Arial" w:eastAsia="Arial" w:hAnsi="Arial" w:cs="Arial"/>
              </w:rPr>
              <w:t xml:space="preserve"> Dashboard requirements </w:t>
            </w:r>
          </w:p>
        </w:tc>
        <w:tc>
          <w:tcPr>
            <w:tcW w:w="2551" w:type="dxa"/>
            <w:tcBorders>
              <w:top w:val="single" w:sz="4" w:space="0" w:color="000000"/>
              <w:left w:val="single" w:sz="4" w:space="0" w:color="000000"/>
              <w:bottom w:val="single" w:sz="4" w:space="0" w:color="000000"/>
              <w:right w:val="single" w:sz="4" w:space="0" w:color="000000"/>
            </w:tcBorders>
          </w:tcPr>
          <w:p w:rsidR="00BA3744" w:rsidRDefault="00BA3744">
            <w:pPr>
              <w:widowControl w:val="0"/>
              <w:pBdr>
                <w:top w:val="nil"/>
                <w:left w:val="nil"/>
                <w:bottom w:val="nil"/>
                <w:right w:val="nil"/>
                <w:between w:val="nil"/>
              </w:pBdr>
              <w:rPr>
                <w:rFonts w:ascii="Arial" w:eastAsia="Arial" w:hAnsi="Arial" w:cs="Arial"/>
              </w:rPr>
            </w:pPr>
          </w:p>
          <w:p w:rsidR="00BA3744" w:rsidRDefault="00475E69">
            <w:pPr>
              <w:widowControl w:val="0"/>
              <w:pBdr>
                <w:top w:val="nil"/>
                <w:left w:val="nil"/>
                <w:bottom w:val="nil"/>
                <w:right w:val="nil"/>
                <w:between w:val="nil"/>
              </w:pBdr>
              <w:rPr>
                <w:rFonts w:ascii="Arial" w:eastAsia="Arial" w:hAnsi="Arial" w:cs="Arial"/>
              </w:rPr>
            </w:pPr>
            <w:r>
              <w:rPr>
                <w:rFonts w:ascii="Arial" w:eastAsia="Arial" w:hAnsi="Arial" w:cs="Arial"/>
              </w:rPr>
              <w:t>Provision of information on further competition participation in the agreed format and frequency.</w:t>
            </w:r>
          </w:p>
          <w:p w:rsidR="00BA3744" w:rsidRDefault="00BA3744">
            <w:pPr>
              <w:widowControl w:val="0"/>
              <w:pBdr>
                <w:top w:val="nil"/>
                <w:left w:val="nil"/>
                <w:bottom w:val="nil"/>
                <w:right w:val="nil"/>
                <w:between w:val="nil"/>
              </w:pBdr>
              <w:rPr>
                <w:rFonts w:ascii="Arial" w:eastAsia="Arial" w:hAnsi="Arial" w:cs="Arial"/>
              </w:rPr>
            </w:pPr>
          </w:p>
          <w:p w:rsidR="00BA3744" w:rsidRDefault="00475E69">
            <w:pPr>
              <w:widowControl w:val="0"/>
              <w:pBdr>
                <w:top w:val="nil"/>
                <w:left w:val="nil"/>
                <w:bottom w:val="nil"/>
                <w:right w:val="nil"/>
                <w:between w:val="nil"/>
              </w:pBdr>
              <w:rPr>
                <w:rFonts w:ascii="Arial" w:eastAsia="Arial" w:hAnsi="Arial" w:cs="Arial"/>
              </w:rPr>
            </w:pPr>
            <w:r>
              <w:rPr>
                <w:rFonts w:ascii="Arial" w:eastAsia="Arial" w:hAnsi="Arial" w:cs="Arial"/>
              </w:rPr>
              <w:lastRenderedPageBreak/>
              <w:t>Provision of information on awarded Call-Off Contracts in the agreed format and frequency.</w:t>
            </w:r>
          </w:p>
          <w:p w:rsidR="00BA3744" w:rsidRDefault="00BA3744">
            <w:pPr>
              <w:widowControl w:val="0"/>
              <w:pBdr>
                <w:top w:val="nil"/>
                <w:left w:val="nil"/>
                <w:bottom w:val="nil"/>
                <w:right w:val="nil"/>
                <w:between w:val="nil"/>
              </w:pBdr>
              <w:rPr>
                <w:rFonts w:ascii="Arial" w:eastAsia="Arial" w:hAnsi="Arial" w:cs="Arial"/>
              </w:rPr>
            </w:pPr>
          </w:p>
          <w:p w:rsidR="00BA3744" w:rsidRDefault="00475E69">
            <w:pPr>
              <w:widowControl w:val="0"/>
              <w:pBdr>
                <w:top w:val="nil"/>
                <w:left w:val="nil"/>
                <w:bottom w:val="nil"/>
                <w:right w:val="nil"/>
                <w:between w:val="nil"/>
              </w:pBdr>
              <w:rPr>
                <w:rFonts w:ascii="Arial" w:eastAsia="Arial" w:hAnsi="Arial" w:cs="Arial"/>
              </w:rPr>
            </w:pPr>
            <w:r>
              <w:rPr>
                <w:rFonts w:ascii="Arial" w:eastAsia="Arial" w:hAnsi="Arial" w:cs="Arial"/>
              </w:rPr>
              <w:t>Provision of Dashboard information in t</w:t>
            </w:r>
            <w:r>
              <w:rPr>
                <w:rFonts w:ascii="Arial" w:eastAsia="Arial" w:hAnsi="Arial" w:cs="Arial"/>
              </w:rPr>
              <w:t xml:space="preserve">he agreed format and frequency </w:t>
            </w:r>
          </w:p>
          <w:p w:rsidR="00BA3744" w:rsidRDefault="00BA3744">
            <w:pPr>
              <w:widowControl w:val="0"/>
              <w:pBdr>
                <w:top w:val="nil"/>
                <w:left w:val="nil"/>
                <w:bottom w:val="nil"/>
                <w:right w:val="nil"/>
                <w:between w:val="nil"/>
              </w:pBdr>
              <w:rPr>
                <w:rFonts w:ascii="Arial" w:eastAsia="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rPr>
                <w:rFonts w:ascii="Arial" w:eastAsia="Arial" w:hAnsi="Arial" w:cs="Arial"/>
              </w:rPr>
            </w:pPr>
            <w:r>
              <w:rPr>
                <w:rFonts w:ascii="Arial" w:eastAsia="Arial" w:hAnsi="Arial" w:cs="Arial"/>
              </w:rPr>
              <w:lastRenderedPageBreak/>
              <w:t>Supplier performance Dashboard as per Annex A</w:t>
            </w:r>
          </w:p>
          <w:p w:rsidR="00BA3744" w:rsidRDefault="00BA3744">
            <w:pPr>
              <w:keepNext/>
              <w:widowControl w:val="0"/>
              <w:pBdr>
                <w:top w:val="nil"/>
                <w:left w:val="nil"/>
                <w:bottom w:val="nil"/>
                <w:right w:val="nil"/>
                <w:between w:val="nil"/>
              </w:pBdr>
              <w:spacing w:before="80" w:after="80"/>
              <w:ind w:left="142"/>
              <w:rPr>
                <w:rFonts w:ascii="Arial" w:eastAsia="Arial" w:hAnsi="Arial" w:cs="Arial"/>
              </w:rPr>
            </w:pPr>
          </w:p>
        </w:tc>
        <w:tc>
          <w:tcPr>
            <w:tcW w:w="1417" w:type="dxa"/>
            <w:tcBorders>
              <w:top w:val="single" w:sz="4" w:space="0" w:color="000000"/>
              <w:left w:val="single" w:sz="4" w:space="0" w:color="000000"/>
              <w:bottom w:val="single" w:sz="4" w:space="0" w:color="000000"/>
              <w:right w:val="single" w:sz="4" w:space="0" w:color="000000"/>
            </w:tcBorders>
          </w:tcPr>
          <w:p w:rsidR="00BA3744" w:rsidRDefault="00BA3744">
            <w:pPr>
              <w:widowControl w:val="0"/>
              <w:pBdr>
                <w:top w:val="nil"/>
                <w:left w:val="nil"/>
                <w:bottom w:val="nil"/>
                <w:right w:val="nil"/>
                <w:between w:val="nil"/>
              </w:pBdr>
              <w:rPr>
                <w:rFonts w:ascii="Arial" w:eastAsia="Arial" w:hAnsi="Arial" w:cs="Arial"/>
              </w:rPr>
            </w:pPr>
          </w:p>
          <w:p w:rsidR="00BA3744" w:rsidRDefault="00BA3744">
            <w:pPr>
              <w:widowControl w:val="0"/>
              <w:pBdr>
                <w:top w:val="nil"/>
                <w:left w:val="nil"/>
                <w:bottom w:val="nil"/>
                <w:right w:val="nil"/>
                <w:between w:val="nil"/>
              </w:pBdr>
              <w:rPr>
                <w:rFonts w:ascii="Arial" w:eastAsia="Arial" w:hAnsi="Arial" w:cs="Arial"/>
              </w:rPr>
            </w:pPr>
          </w:p>
          <w:p w:rsidR="00BA3744" w:rsidRDefault="00BA3744">
            <w:pPr>
              <w:widowControl w:val="0"/>
              <w:pBdr>
                <w:top w:val="nil"/>
                <w:left w:val="nil"/>
                <w:bottom w:val="nil"/>
                <w:right w:val="nil"/>
                <w:between w:val="nil"/>
              </w:pBdr>
              <w:rPr>
                <w:rFonts w:ascii="Arial" w:eastAsia="Arial" w:hAnsi="Arial" w:cs="Arial"/>
              </w:rPr>
            </w:pPr>
          </w:p>
          <w:p w:rsidR="00BA3744" w:rsidRDefault="00BA3744">
            <w:pPr>
              <w:widowControl w:val="0"/>
              <w:pBdr>
                <w:top w:val="nil"/>
                <w:left w:val="nil"/>
                <w:bottom w:val="nil"/>
                <w:right w:val="nil"/>
                <w:between w:val="nil"/>
              </w:pBdr>
              <w:rPr>
                <w:rFonts w:ascii="Arial" w:eastAsia="Arial" w:hAnsi="Arial" w:cs="Arial"/>
              </w:rPr>
            </w:pPr>
          </w:p>
          <w:p w:rsidR="00BA3744" w:rsidRDefault="00BA3744">
            <w:pPr>
              <w:widowControl w:val="0"/>
              <w:pBdr>
                <w:top w:val="nil"/>
                <w:left w:val="nil"/>
                <w:bottom w:val="nil"/>
                <w:right w:val="nil"/>
                <w:between w:val="nil"/>
              </w:pBdr>
              <w:rPr>
                <w:rFonts w:ascii="Arial" w:eastAsia="Arial" w:hAnsi="Arial" w:cs="Arial"/>
              </w:rPr>
            </w:pPr>
          </w:p>
          <w:p w:rsidR="00BA3744" w:rsidRDefault="00BA3744">
            <w:pPr>
              <w:widowControl w:val="0"/>
              <w:pBdr>
                <w:top w:val="nil"/>
                <w:left w:val="nil"/>
                <w:bottom w:val="nil"/>
                <w:right w:val="nil"/>
                <w:between w:val="nil"/>
              </w:pBdr>
              <w:rPr>
                <w:rFonts w:ascii="Arial" w:eastAsia="Arial" w:hAnsi="Arial" w:cs="Arial"/>
              </w:rPr>
            </w:pPr>
          </w:p>
          <w:p w:rsidR="00BA3744" w:rsidRDefault="00BA3744">
            <w:pPr>
              <w:widowControl w:val="0"/>
              <w:pBdr>
                <w:top w:val="nil"/>
                <w:left w:val="nil"/>
                <w:bottom w:val="nil"/>
                <w:right w:val="nil"/>
                <w:between w:val="nil"/>
              </w:pBdr>
              <w:rPr>
                <w:rFonts w:ascii="Arial" w:eastAsia="Arial" w:hAnsi="Arial" w:cs="Arial"/>
              </w:rPr>
            </w:pPr>
          </w:p>
          <w:p w:rsidR="00BA3744" w:rsidRDefault="00BA3744">
            <w:pPr>
              <w:widowControl w:val="0"/>
              <w:pBdr>
                <w:top w:val="nil"/>
                <w:left w:val="nil"/>
                <w:bottom w:val="nil"/>
                <w:right w:val="nil"/>
                <w:between w:val="nil"/>
              </w:pBdr>
              <w:rPr>
                <w:rFonts w:ascii="Arial" w:eastAsia="Arial" w:hAnsi="Arial" w:cs="Arial"/>
              </w:rPr>
            </w:pPr>
          </w:p>
          <w:p w:rsidR="00BA3744" w:rsidRDefault="00475E69">
            <w:pPr>
              <w:widowControl w:val="0"/>
              <w:pBdr>
                <w:top w:val="nil"/>
                <w:left w:val="nil"/>
                <w:bottom w:val="nil"/>
                <w:right w:val="nil"/>
                <w:between w:val="nil"/>
              </w:pBdr>
              <w:rPr>
                <w:rFonts w:ascii="Arial" w:eastAsia="Arial" w:hAnsi="Arial" w:cs="Arial"/>
              </w:rPr>
            </w:pPr>
            <w:r>
              <w:rPr>
                <w:rFonts w:ascii="Arial" w:eastAsia="Arial" w:hAnsi="Arial" w:cs="Arial"/>
              </w:rPr>
              <w:t>Quarterly on or before 15</w:t>
            </w:r>
            <w:r>
              <w:rPr>
                <w:rFonts w:ascii="Arial" w:eastAsia="Arial" w:hAnsi="Arial" w:cs="Arial"/>
                <w:vertAlign w:val="superscript"/>
              </w:rPr>
              <w:t>th</w:t>
            </w:r>
            <w:r>
              <w:rPr>
                <w:rFonts w:ascii="Arial" w:eastAsia="Arial" w:hAnsi="Arial" w:cs="Arial"/>
              </w:rPr>
              <w:t xml:space="preserve"> of start of Q1, Q2, Q3 &amp; Q4</w:t>
            </w:r>
          </w:p>
        </w:tc>
        <w:tc>
          <w:tcPr>
            <w:tcW w:w="1462"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lastRenderedPageBreak/>
              <w:t xml:space="preserve">Lot 1 </w:t>
            </w:r>
            <w:r>
              <w:rPr>
                <w:noProof/>
              </w:rPr>
              <w:drawing>
                <wp:inline distT="0" distB="0" distL="0" distR="0">
                  <wp:extent cx="203200" cy="203200"/>
                  <wp:effectExtent l="0" t="0" r="0" b="0"/>
                  <wp:docPr id="10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extent cx="203200" cy="203200"/>
                  <wp:effectExtent l="0" t="0" r="0" b="0"/>
                  <wp:docPr id="10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extent cx="203200" cy="203200"/>
                  <wp:effectExtent l="0" t="0" r="0" b="0"/>
                  <wp:docPr id="10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after="80"/>
              <w:rPr>
                <w:rFonts w:ascii="Arial" w:eastAsia="Arial" w:hAnsi="Arial" w:cs="Arial"/>
                <w:sz w:val="24"/>
                <w:szCs w:val="24"/>
              </w:rPr>
            </w:pPr>
            <w:r>
              <w:rPr>
                <w:rFonts w:ascii="Arial" w:eastAsia="Arial" w:hAnsi="Arial" w:cs="Arial"/>
              </w:rPr>
              <w:lastRenderedPageBreak/>
              <w:t xml:space="preserve">Lot 4 </w:t>
            </w:r>
            <w:r>
              <w:rPr>
                <w:noProof/>
              </w:rPr>
              <w:drawing>
                <wp:inline distT="0" distB="0" distL="0" distR="0">
                  <wp:extent cx="203200" cy="203200"/>
                  <wp:effectExtent l="0" t="0" r="0" b="0"/>
                  <wp:docPr id="10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tc>
      </w:tr>
      <w:tr w:rsidR="00BA3744">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lastRenderedPageBreak/>
              <w:t>Compliance to CSR values</w:t>
            </w:r>
          </w:p>
        </w:tc>
        <w:tc>
          <w:tcPr>
            <w:tcW w:w="2551" w:type="dxa"/>
            <w:tcBorders>
              <w:top w:val="single" w:sz="4" w:space="0" w:color="000000"/>
              <w:left w:val="single" w:sz="4" w:space="0" w:color="000000"/>
              <w:bottom w:val="single" w:sz="4" w:space="0" w:color="000000"/>
              <w:right w:val="single" w:sz="4" w:space="0" w:color="000000"/>
            </w:tcBorders>
          </w:tcPr>
          <w:p w:rsidR="00BA3744" w:rsidRDefault="00BA3744">
            <w:pPr>
              <w:keepNext/>
              <w:widowControl w:val="0"/>
              <w:pBdr>
                <w:top w:val="nil"/>
                <w:left w:val="nil"/>
                <w:bottom w:val="nil"/>
                <w:right w:val="nil"/>
                <w:between w:val="nil"/>
              </w:pBdr>
              <w:spacing w:before="80" w:after="80"/>
              <w:ind w:left="142"/>
              <w:rPr>
                <w:rFonts w:ascii="Arial" w:eastAsia="Arial" w:hAnsi="Arial" w:cs="Arial"/>
              </w:rPr>
            </w:pPr>
          </w:p>
          <w:p w:rsidR="00BA3744" w:rsidRDefault="00BA3744">
            <w:pPr>
              <w:keepNext/>
              <w:widowControl w:val="0"/>
              <w:pBdr>
                <w:top w:val="nil"/>
                <w:left w:val="nil"/>
                <w:bottom w:val="nil"/>
                <w:right w:val="nil"/>
                <w:between w:val="nil"/>
              </w:pBdr>
              <w:spacing w:before="80" w:after="80"/>
              <w:ind w:left="142"/>
              <w:rPr>
                <w:rFonts w:ascii="Arial" w:eastAsia="Arial" w:hAnsi="Arial" w:cs="Arial"/>
              </w:rPr>
            </w:pPr>
          </w:p>
          <w:p w:rsidR="00BA3744" w:rsidRDefault="00475E69">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The Supplier shall complete annual Corporate Social Responsibility (CSR) assessments, highlighting risks and recommendations for improvements.</w:t>
            </w:r>
          </w:p>
          <w:p w:rsidR="00BA3744" w:rsidRDefault="00BA3744">
            <w:pPr>
              <w:widowControl w:val="0"/>
              <w:pBdr>
                <w:top w:val="nil"/>
                <w:left w:val="nil"/>
                <w:bottom w:val="nil"/>
                <w:right w:val="nil"/>
                <w:between w:val="nil"/>
              </w:pBdr>
              <w:spacing w:before="80" w:after="80"/>
              <w:rPr>
                <w:rFonts w:ascii="Arial" w:eastAsia="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Social Value Policy</w:t>
            </w:r>
          </w:p>
          <w:p w:rsidR="00BA3744" w:rsidRDefault="00BA3744">
            <w:pPr>
              <w:keepNext/>
              <w:widowControl w:val="0"/>
              <w:pBdr>
                <w:top w:val="nil"/>
                <w:left w:val="nil"/>
                <w:bottom w:val="nil"/>
                <w:right w:val="nil"/>
                <w:between w:val="nil"/>
              </w:pBdr>
              <w:spacing w:before="80" w:after="80"/>
              <w:ind w:left="142"/>
              <w:rPr>
                <w:rFonts w:ascii="Arial" w:eastAsia="Arial" w:hAnsi="Arial" w:cs="Arial"/>
              </w:rPr>
            </w:pPr>
          </w:p>
        </w:tc>
        <w:tc>
          <w:tcPr>
            <w:tcW w:w="1417" w:type="dxa"/>
            <w:tcBorders>
              <w:top w:val="single" w:sz="4" w:space="0" w:color="000000"/>
              <w:left w:val="single" w:sz="4" w:space="0" w:color="000000"/>
              <w:bottom w:val="single" w:sz="4" w:space="0" w:color="000000"/>
              <w:right w:val="single" w:sz="4" w:space="0" w:color="000000"/>
            </w:tcBorders>
          </w:tcPr>
          <w:p w:rsidR="00BA3744" w:rsidRDefault="00BA3744">
            <w:pPr>
              <w:widowControl w:val="0"/>
              <w:pBdr>
                <w:top w:val="nil"/>
                <w:left w:val="nil"/>
                <w:bottom w:val="nil"/>
                <w:right w:val="nil"/>
                <w:between w:val="nil"/>
              </w:pBdr>
              <w:spacing w:before="80" w:after="80"/>
              <w:rPr>
                <w:rFonts w:ascii="Arial" w:eastAsia="Arial" w:hAnsi="Arial" w:cs="Arial"/>
              </w:rPr>
            </w:pPr>
          </w:p>
          <w:p w:rsidR="00BA3744" w:rsidRDefault="00BA3744">
            <w:pPr>
              <w:widowControl w:val="0"/>
              <w:pBdr>
                <w:top w:val="nil"/>
                <w:left w:val="nil"/>
                <w:bottom w:val="nil"/>
                <w:right w:val="nil"/>
                <w:between w:val="nil"/>
              </w:pBdr>
              <w:spacing w:before="80" w:after="80"/>
              <w:rPr>
                <w:rFonts w:ascii="Arial" w:eastAsia="Arial" w:hAnsi="Arial" w:cs="Arial"/>
              </w:rPr>
            </w:pPr>
          </w:p>
          <w:p w:rsidR="00BA3744" w:rsidRDefault="00475E69">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Annually</w:t>
            </w:r>
          </w:p>
        </w:tc>
        <w:tc>
          <w:tcPr>
            <w:tcW w:w="1462"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1 </w:t>
            </w:r>
            <w:r>
              <w:rPr>
                <w:noProof/>
              </w:rPr>
              <w:drawing>
                <wp:inline distT="0" distB="0" distL="0" distR="0">
                  <wp:extent cx="203200" cy="203200"/>
                  <wp:effectExtent l="0" t="0" r="0" b="0"/>
                  <wp:docPr id="7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extent cx="203200" cy="203200"/>
                  <wp:effectExtent l="0" t="0" r="0" b="0"/>
                  <wp:docPr id="7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extent cx="203200" cy="203200"/>
                  <wp:effectExtent l="0" t="0" r="0" b="0"/>
                  <wp:docPr id="7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Lot 4 </w:t>
            </w:r>
            <w:r>
              <w:rPr>
                <w:noProof/>
              </w:rPr>
              <w:drawing>
                <wp:inline distT="0" distB="0" distL="0" distR="0">
                  <wp:extent cx="203200" cy="203200"/>
                  <wp:effectExtent l="0" t="0" r="0" b="0"/>
                  <wp:docPr id="7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tc>
      </w:tr>
      <w:tr w:rsidR="00BA3744">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Compliance to Modern Slavery </w:t>
            </w:r>
          </w:p>
        </w:tc>
        <w:tc>
          <w:tcPr>
            <w:tcW w:w="2551" w:type="dxa"/>
            <w:tcBorders>
              <w:top w:val="single" w:sz="4" w:space="0" w:color="000000"/>
              <w:left w:val="single" w:sz="4" w:space="0" w:color="000000"/>
              <w:bottom w:val="single" w:sz="4" w:space="0" w:color="000000"/>
              <w:right w:val="single" w:sz="4" w:space="0" w:color="000000"/>
            </w:tcBorders>
          </w:tcPr>
          <w:p w:rsidR="00BA3744" w:rsidRDefault="00475E69">
            <w:pPr>
              <w:widowControl w:val="0"/>
              <w:pBdr>
                <w:top w:val="nil"/>
                <w:left w:val="nil"/>
                <w:bottom w:val="nil"/>
                <w:right w:val="nil"/>
                <w:between w:val="nil"/>
              </w:pBdr>
              <w:rPr>
                <w:rFonts w:ascii="Arial" w:eastAsia="Arial" w:hAnsi="Arial" w:cs="Arial"/>
              </w:rPr>
            </w:pPr>
            <w:r>
              <w:rPr>
                <w:rFonts w:ascii="Arial" w:eastAsia="Arial" w:hAnsi="Arial" w:cs="Arial"/>
              </w:rPr>
              <w:t>Evidence of compliance to Modern Slavery, Child Labour and Inhuman Treatment</w:t>
            </w:r>
          </w:p>
        </w:tc>
        <w:tc>
          <w:tcPr>
            <w:tcW w:w="1418"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rPr>
                <w:rFonts w:ascii="Arial" w:eastAsia="Arial" w:hAnsi="Arial" w:cs="Arial"/>
              </w:rPr>
            </w:pPr>
            <w:r>
              <w:rPr>
                <w:rFonts w:ascii="Arial" w:eastAsia="Arial" w:hAnsi="Arial" w:cs="Arial"/>
              </w:rPr>
              <w:t>Annual Slavery and human trafficking report as per Joint Schedule 5 3.1.8</w:t>
            </w:r>
          </w:p>
        </w:tc>
        <w:tc>
          <w:tcPr>
            <w:tcW w:w="1417" w:type="dxa"/>
            <w:tcBorders>
              <w:top w:val="single" w:sz="4" w:space="0" w:color="000000"/>
              <w:left w:val="single" w:sz="4" w:space="0" w:color="000000"/>
              <w:bottom w:val="single" w:sz="4" w:space="0" w:color="000000"/>
              <w:right w:val="single" w:sz="4" w:space="0" w:color="000000"/>
            </w:tcBorders>
          </w:tcPr>
          <w:p w:rsidR="00BA3744" w:rsidRDefault="00475E69">
            <w:pPr>
              <w:widowControl w:val="0"/>
              <w:pBdr>
                <w:top w:val="nil"/>
                <w:left w:val="nil"/>
                <w:bottom w:val="nil"/>
                <w:right w:val="nil"/>
                <w:between w:val="nil"/>
              </w:pBdr>
              <w:rPr>
                <w:rFonts w:ascii="Arial" w:eastAsia="Arial" w:hAnsi="Arial" w:cs="Arial"/>
              </w:rPr>
            </w:pPr>
            <w:r>
              <w:rPr>
                <w:rFonts w:ascii="Arial" w:eastAsia="Arial" w:hAnsi="Arial" w:cs="Arial"/>
              </w:rPr>
              <w:t>Annually</w:t>
            </w:r>
          </w:p>
        </w:tc>
        <w:tc>
          <w:tcPr>
            <w:tcW w:w="1462"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spacing w:before="80"/>
              <w:rPr>
                <w:rFonts w:ascii="Arial" w:eastAsia="Arial" w:hAnsi="Arial" w:cs="Arial"/>
              </w:rPr>
            </w:pPr>
            <w:bookmarkStart w:id="4" w:name="_GoBack"/>
            <w:bookmarkEnd w:id="4"/>
            <w:r>
              <w:rPr>
                <w:rFonts w:ascii="Arial" w:eastAsia="Arial" w:hAnsi="Arial" w:cs="Arial"/>
              </w:rPr>
              <w:t xml:space="preserve">Lot 1 </w:t>
            </w:r>
            <w:r>
              <w:rPr>
                <w:noProof/>
              </w:rPr>
              <w:drawing>
                <wp:inline distT="0" distB="0" distL="0" distR="0">
                  <wp:extent cx="203200" cy="203200"/>
                  <wp:effectExtent l="0" t="0" r="0" b="0"/>
                  <wp:docPr id="7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extent cx="203200" cy="203200"/>
                  <wp:effectExtent l="0" t="0" r="0" b="0"/>
                  <wp:docPr id="7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extent cx="203200" cy="203200"/>
                  <wp:effectExtent l="0" t="0" r="0" b="0"/>
                  <wp:docPr id="7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Lot 4 </w:t>
            </w:r>
            <w:r>
              <w:rPr>
                <w:noProof/>
              </w:rPr>
              <w:drawing>
                <wp:inline distT="0" distB="0" distL="0" distR="0">
                  <wp:extent cx="203200" cy="203200"/>
                  <wp:effectExtent l="0" t="0" r="0" b="0"/>
                  <wp:docPr id="7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tc>
      </w:tr>
      <w:tr w:rsidR="00BA3744">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Framework Contract Growth and marketing</w:t>
            </w:r>
          </w:p>
        </w:tc>
        <w:tc>
          <w:tcPr>
            <w:tcW w:w="2551" w:type="dxa"/>
            <w:tcBorders>
              <w:top w:val="single" w:sz="4" w:space="0" w:color="000000"/>
              <w:left w:val="single" w:sz="4" w:space="0" w:color="000000"/>
              <w:bottom w:val="single" w:sz="4" w:space="0" w:color="000000"/>
              <w:right w:val="single" w:sz="4" w:space="0" w:color="000000"/>
            </w:tcBorders>
          </w:tcPr>
          <w:p w:rsidR="00BA3744" w:rsidRDefault="00475E69">
            <w:pPr>
              <w:widowControl w:val="0"/>
              <w:pBdr>
                <w:top w:val="nil"/>
                <w:left w:val="nil"/>
                <w:bottom w:val="nil"/>
                <w:right w:val="nil"/>
                <w:between w:val="nil"/>
              </w:pBdr>
              <w:rPr>
                <w:rFonts w:ascii="Arial" w:eastAsia="Arial" w:hAnsi="Arial" w:cs="Arial"/>
              </w:rPr>
            </w:pPr>
            <w:r>
              <w:rPr>
                <w:rFonts w:ascii="Arial" w:eastAsia="Arial" w:hAnsi="Arial" w:cs="Arial"/>
              </w:rPr>
              <w:t>Marketing &amp;</w:t>
            </w:r>
            <w:r>
              <w:rPr>
                <w:rFonts w:ascii="Arial" w:eastAsia="Arial" w:hAnsi="Arial" w:cs="Arial"/>
              </w:rPr>
              <w:t xml:space="preserve"> Communication Overview</w:t>
            </w:r>
          </w:p>
          <w:p w:rsidR="00BA3744" w:rsidRDefault="00BA3744">
            <w:pPr>
              <w:widowControl w:val="0"/>
              <w:pBdr>
                <w:top w:val="nil"/>
                <w:left w:val="nil"/>
                <w:bottom w:val="nil"/>
                <w:right w:val="nil"/>
                <w:between w:val="nil"/>
              </w:pBdr>
              <w:rPr>
                <w:rFonts w:ascii="Arial" w:eastAsia="Arial" w:hAnsi="Arial" w:cs="Arial"/>
              </w:rPr>
            </w:pPr>
          </w:p>
          <w:p w:rsidR="00BA3744" w:rsidRDefault="00475E69">
            <w:pPr>
              <w:widowControl w:val="0"/>
              <w:pBdr>
                <w:top w:val="nil"/>
                <w:left w:val="nil"/>
                <w:bottom w:val="nil"/>
                <w:right w:val="nil"/>
                <w:between w:val="nil"/>
              </w:pBdr>
              <w:rPr>
                <w:rFonts w:ascii="Arial" w:eastAsia="Arial" w:hAnsi="Arial" w:cs="Arial"/>
              </w:rPr>
            </w:pPr>
            <w:r>
              <w:rPr>
                <w:rFonts w:ascii="Arial" w:eastAsia="Arial" w:hAnsi="Arial" w:cs="Arial"/>
              </w:rPr>
              <w:t>Provide details of Buyer opportunities and interest/engagement in the agreed format and frequency.</w:t>
            </w:r>
          </w:p>
          <w:p w:rsidR="00BA3744" w:rsidRDefault="00BA3744">
            <w:pPr>
              <w:widowControl w:val="0"/>
              <w:pBdr>
                <w:top w:val="nil"/>
                <w:left w:val="nil"/>
                <w:bottom w:val="nil"/>
                <w:right w:val="nil"/>
                <w:between w:val="nil"/>
              </w:pBdr>
              <w:rPr>
                <w:rFonts w:ascii="Arial" w:eastAsia="Arial" w:hAnsi="Arial" w:cs="Arial"/>
              </w:rPr>
            </w:pPr>
          </w:p>
          <w:p w:rsidR="00BA3744" w:rsidRDefault="00475E69">
            <w:pPr>
              <w:keepNext/>
              <w:widowControl w:val="0"/>
              <w:pBdr>
                <w:top w:val="nil"/>
                <w:left w:val="nil"/>
                <w:bottom w:val="nil"/>
                <w:right w:val="nil"/>
                <w:between w:val="nil"/>
              </w:pBdr>
              <w:spacing w:before="80" w:after="80"/>
              <w:rPr>
                <w:rFonts w:ascii="Arial" w:eastAsia="Arial" w:hAnsi="Arial" w:cs="Arial"/>
              </w:rPr>
            </w:pPr>
            <w:r>
              <w:rPr>
                <w:rFonts w:ascii="Arial" w:eastAsia="Arial" w:hAnsi="Arial" w:cs="Arial"/>
              </w:rPr>
              <w:t>Evidence of following such Buyer opportunities through to use of the Framework Contract in the agreed format and frequency.</w:t>
            </w:r>
          </w:p>
          <w:p w:rsidR="00BA3744" w:rsidRDefault="00BA3744">
            <w:pPr>
              <w:widowControl w:val="0"/>
              <w:pBdr>
                <w:top w:val="nil"/>
                <w:left w:val="nil"/>
                <w:bottom w:val="nil"/>
                <w:right w:val="nil"/>
                <w:between w:val="nil"/>
              </w:pBdr>
              <w:rPr>
                <w:rFonts w:ascii="Arial" w:eastAsia="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rPr>
                <w:rFonts w:ascii="Arial" w:eastAsia="Arial" w:hAnsi="Arial" w:cs="Arial"/>
              </w:rPr>
            </w:pPr>
            <w:r>
              <w:rPr>
                <w:rFonts w:ascii="Arial" w:eastAsia="Arial" w:hAnsi="Arial" w:cs="Arial"/>
              </w:rPr>
              <w:t>Supplier Performance Dashboard as per Annex A</w:t>
            </w:r>
          </w:p>
          <w:p w:rsidR="00BA3744" w:rsidRDefault="00BA3744">
            <w:pPr>
              <w:keepNext/>
              <w:widowControl w:val="0"/>
              <w:pBdr>
                <w:top w:val="nil"/>
                <w:left w:val="nil"/>
                <w:bottom w:val="nil"/>
                <w:right w:val="nil"/>
                <w:between w:val="nil"/>
              </w:pBdr>
              <w:spacing w:before="80" w:after="80"/>
              <w:ind w:left="142"/>
              <w:rPr>
                <w:rFonts w:ascii="Arial" w:eastAsia="Arial" w:hAnsi="Arial" w:cs="Arial"/>
              </w:rPr>
            </w:pPr>
          </w:p>
        </w:tc>
        <w:tc>
          <w:tcPr>
            <w:tcW w:w="1417" w:type="dxa"/>
            <w:tcBorders>
              <w:top w:val="single" w:sz="4" w:space="0" w:color="000000"/>
              <w:left w:val="single" w:sz="4" w:space="0" w:color="000000"/>
              <w:bottom w:val="single" w:sz="4" w:space="0" w:color="000000"/>
              <w:right w:val="single" w:sz="4" w:space="0" w:color="000000"/>
            </w:tcBorders>
          </w:tcPr>
          <w:p w:rsidR="00BA3744" w:rsidRDefault="00475E69">
            <w:pPr>
              <w:widowControl w:val="0"/>
              <w:pBdr>
                <w:top w:val="nil"/>
                <w:left w:val="nil"/>
                <w:bottom w:val="nil"/>
                <w:right w:val="nil"/>
                <w:between w:val="nil"/>
              </w:pBdr>
              <w:rPr>
                <w:rFonts w:ascii="Arial" w:eastAsia="Arial" w:hAnsi="Arial" w:cs="Arial"/>
              </w:rPr>
            </w:pPr>
            <w:r>
              <w:rPr>
                <w:rFonts w:ascii="Arial" w:eastAsia="Arial" w:hAnsi="Arial" w:cs="Arial"/>
              </w:rPr>
              <w:t>Quarterly on or before 15</w:t>
            </w:r>
            <w:r>
              <w:rPr>
                <w:rFonts w:ascii="Arial" w:eastAsia="Arial" w:hAnsi="Arial" w:cs="Arial"/>
                <w:vertAlign w:val="superscript"/>
              </w:rPr>
              <w:t>th</w:t>
            </w:r>
            <w:r>
              <w:rPr>
                <w:rFonts w:ascii="Arial" w:eastAsia="Arial" w:hAnsi="Arial" w:cs="Arial"/>
              </w:rPr>
              <w:t xml:space="preserve"> of start of Q1, Q2, Q3 &amp; Q4</w:t>
            </w:r>
          </w:p>
          <w:p w:rsidR="00BA3744" w:rsidRDefault="00BA3744">
            <w:pPr>
              <w:widowControl w:val="0"/>
              <w:pBdr>
                <w:top w:val="nil"/>
                <w:left w:val="nil"/>
                <w:bottom w:val="nil"/>
                <w:right w:val="nil"/>
                <w:between w:val="nil"/>
              </w:pBdr>
              <w:rPr>
                <w:rFonts w:ascii="Arial" w:eastAsia="Arial" w:hAnsi="Arial" w:cs="Arial"/>
              </w:rPr>
            </w:pPr>
          </w:p>
        </w:tc>
        <w:tc>
          <w:tcPr>
            <w:tcW w:w="1462" w:type="dxa"/>
            <w:tcBorders>
              <w:top w:val="single" w:sz="4" w:space="0" w:color="000000"/>
              <w:left w:val="single" w:sz="4" w:space="0" w:color="000000"/>
              <w:bottom w:val="single" w:sz="4" w:space="0" w:color="000000"/>
              <w:right w:val="single" w:sz="4" w:space="0" w:color="000000"/>
            </w:tcBorders>
            <w:vAlign w:val="center"/>
          </w:tcPr>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1 </w:t>
            </w:r>
            <w:r>
              <w:rPr>
                <w:noProof/>
              </w:rPr>
              <w:drawing>
                <wp:inline distT="0" distB="0" distL="0" distR="0">
                  <wp:extent cx="203200" cy="203200"/>
                  <wp:effectExtent l="0" t="0" r="0" b="0"/>
                  <wp:docPr id="8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extent cx="203200" cy="203200"/>
                  <wp:effectExtent l="0" t="0" r="0" b="0"/>
                  <wp:docPr id="8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extent cx="203200" cy="203200"/>
                  <wp:effectExtent l="0" t="0" r="0" b="0"/>
                  <wp:docPr id="8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BA3744" w:rsidRDefault="00475E69">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Lot 4 </w:t>
            </w:r>
            <w:r>
              <w:rPr>
                <w:noProof/>
              </w:rPr>
              <w:drawing>
                <wp:inline distT="0" distB="0" distL="0" distR="0">
                  <wp:extent cx="203200" cy="203200"/>
                  <wp:effectExtent l="0" t="0" r="0" b="0"/>
                  <wp:docPr id="9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tc>
      </w:tr>
    </w:tbl>
    <w:p w:rsidR="00BA3744" w:rsidRDefault="00BA3744">
      <w:pPr>
        <w:pBdr>
          <w:top w:val="nil"/>
          <w:left w:val="nil"/>
          <w:bottom w:val="nil"/>
          <w:right w:val="nil"/>
          <w:between w:val="nil"/>
        </w:pBdr>
        <w:tabs>
          <w:tab w:val="left" w:pos="1134"/>
        </w:tabs>
        <w:spacing w:before="120" w:after="240" w:line="240" w:lineRule="auto"/>
        <w:ind w:left="426" w:hanging="426"/>
        <w:jc w:val="both"/>
      </w:pPr>
    </w:p>
    <w:p w:rsidR="00BA3744" w:rsidRDefault="00BA3744">
      <w:pPr>
        <w:tabs>
          <w:tab w:val="left" w:pos="1134"/>
        </w:tabs>
        <w:spacing w:before="120" w:after="120" w:line="240" w:lineRule="auto"/>
        <w:rPr>
          <w:rFonts w:ascii="Arial" w:eastAsia="Arial" w:hAnsi="Arial" w:cs="Arial"/>
          <w:b/>
          <w:sz w:val="24"/>
          <w:szCs w:val="24"/>
        </w:rPr>
      </w:pPr>
    </w:p>
    <w:p w:rsidR="00BA3744" w:rsidRDefault="00475E69">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rsidR="00BA3744" w:rsidRDefault="00475E69">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CCS reserves the right to adjust, introduce new, or remove </w:t>
      </w:r>
      <w:r>
        <w:rPr>
          <w:rFonts w:ascii="Arial" w:eastAsia="Arial" w:hAnsi="Arial" w:cs="Arial"/>
          <w:color w:val="000000"/>
          <w:sz w:val="24"/>
          <w:szCs w:val="24"/>
        </w:rPr>
        <w:t>PIs throughout the Framework Contract Period, however any significant changes to PIs shall be agreed between CCS and the Supplier in accordance with the Variation Procedure.</w:t>
      </w:r>
    </w:p>
    <w:p w:rsidR="00BA3744" w:rsidRDefault="00475E69">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lastRenderedPageBreak/>
        <w:t xml:space="preserve">CCS reserves the right to use and publish the performance of the Supplier against </w:t>
      </w:r>
      <w:r>
        <w:rPr>
          <w:rFonts w:ascii="Arial" w:eastAsia="Arial" w:hAnsi="Arial" w:cs="Arial"/>
          <w:color w:val="000000"/>
          <w:sz w:val="24"/>
          <w:szCs w:val="24"/>
        </w:rPr>
        <w:t>the PIs without restriction.</w:t>
      </w:r>
    </w:p>
    <w:p w:rsidR="00BA3744" w:rsidRDefault="00475E69">
      <w:pPr>
        <w:keepLines/>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rsidR="00BA3744" w:rsidRDefault="00475E69">
      <w:pPr>
        <w:keepNext/>
        <w:keepLines/>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BA3744" w:rsidRDefault="00475E6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tracki</w:t>
      </w:r>
      <w:r>
        <w:rPr>
          <w:rFonts w:ascii="Arial" w:eastAsia="Arial" w:hAnsi="Arial" w:cs="Arial"/>
          <w:color w:val="000000"/>
          <w:sz w:val="24"/>
          <w:szCs w:val="24"/>
        </w:rPr>
        <w:t xml:space="preserve">ng reductions in product volumes and product costs, in order to demonstrate that Buyers are consuming less and buying more smartly; </w:t>
      </w:r>
    </w:p>
    <w:p w:rsidR="00BA3744" w:rsidRDefault="00475E6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developing</w:t>
      </w:r>
      <w:proofErr w:type="gramEnd"/>
      <w:r>
        <w:rPr>
          <w:rFonts w:ascii="Arial" w:eastAsia="Arial" w:hAnsi="Arial" w:cs="Arial"/>
          <w:color w:val="000000"/>
          <w:sz w:val="24"/>
          <w:szCs w:val="24"/>
        </w:rPr>
        <w:t xml:space="preserve"> additional PIs to ensure that this Contract supports the emerging target operating model across central governme</w:t>
      </w:r>
      <w:r>
        <w:rPr>
          <w:rFonts w:ascii="Arial" w:eastAsia="Arial" w:hAnsi="Arial" w:cs="Arial"/>
          <w:color w:val="000000"/>
          <w:sz w:val="24"/>
          <w:szCs w:val="24"/>
        </w:rPr>
        <w:t>nt (particularly in line with centralised sourcing and category management, procurement delivery centres and payment processing systems and shared service centres).</w:t>
      </w:r>
    </w:p>
    <w:p w:rsidR="00BA3744" w:rsidRDefault="00475E6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metrics that are to be implemented to measure efficiency shall be developed and agreed between CCS and the Supplier. Such metrics shall be incorporated into the list of PIs set out in this Schedule.</w:t>
      </w:r>
    </w:p>
    <w:p w:rsidR="00BA3744" w:rsidRDefault="00475E6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ongoing progress and development of the efficienc</w:t>
      </w:r>
      <w:r>
        <w:rPr>
          <w:rFonts w:ascii="Arial" w:eastAsia="Arial" w:hAnsi="Arial" w:cs="Arial"/>
          <w:color w:val="000000"/>
          <w:sz w:val="24"/>
          <w:szCs w:val="24"/>
        </w:rPr>
        <w:t>y tracking performance measures shall be reported through framework management activities as outlined in this Schedule.</w:t>
      </w:r>
    </w:p>
    <w:p w:rsidR="00BA3744" w:rsidRDefault="00475E69">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Supplier can’t agree about the performance </w:t>
      </w:r>
    </w:p>
    <w:p w:rsidR="00BA3744" w:rsidRDefault="00475E6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CCS and the Supplier are unable to agree the per</w:t>
      </w:r>
      <w:r>
        <w:rPr>
          <w:rFonts w:ascii="Arial" w:eastAsia="Arial" w:hAnsi="Arial" w:cs="Arial"/>
          <w:color w:val="000000"/>
          <w:sz w:val="24"/>
          <w:szCs w:val="24"/>
        </w:rPr>
        <w:t>formance score for any PI during a Supplier Review Meeting, the disputed score shall be recorded and the matter shall be referred to CCS Authorised Representative and the Supplier Authorised Representative in order to determine the best course of action to</w:t>
      </w:r>
      <w:r>
        <w:rPr>
          <w:rFonts w:ascii="Arial" w:eastAsia="Arial" w:hAnsi="Arial" w:cs="Arial"/>
          <w:color w:val="000000"/>
          <w:sz w:val="24"/>
          <w:szCs w:val="24"/>
        </w:rPr>
        <w:t xml:space="preserve"> resolve the matter (which may involve organising an ad-hoc meeting to discuss the performance issue specifically).</w:t>
      </w:r>
    </w:p>
    <w:p w:rsidR="00BA3744" w:rsidRDefault="00475E6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cases where CCS Authorised Representative and the Supplier Authorised Representative fail to reach a solution within a reasonable period </w:t>
      </w:r>
      <w:r>
        <w:rPr>
          <w:rFonts w:ascii="Arial" w:eastAsia="Arial" w:hAnsi="Arial" w:cs="Arial"/>
          <w:color w:val="000000"/>
          <w:sz w:val="24"/>
          <w:szCs w:val="24"/>
        </w:rPr>
        <w:t>of time, the matter shall be referred to the Dispute Resolution Procedure.</w:t>
      </w:r>
    </w:p>
    <w:p w:rsidR="00BA3744" w:rsidRDefault="00475E69">
      <w:pPr>
        <w:keepNext/>
        <w:numPr>
          <w:ilvl w:val="0"/>
          <w:numId w:val="2"/>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6" w:name="_heading=h.tyjcwt" w:colFirst="0" w:colLast="0"/>
      <w:bookmarkEnd w:id="6"/>
      <w:r>
        <w:rPr>
          <w:rFonts w:ascii="Arial Bold" w:eastAsia="Arial Bold" w:hAnsi="Arial Bold" w:cs="Arial Bold"/>
          <w:b/>
          <w:color w:val="000000"/>
          <w:sz w:val="24"/>
          <w:szCs w:val="24"/>
        </w:rPr>
        <w:t>Marketing</w:t>
      </w:r>
    </w:p>
    <w:p w:rsidR="00BA3744" w:rsidRDefault="00475E6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Supplier Marketing Contact who shall be responsible for the marketing obligations of the Supplier in relation to this Contract. </w:t>
      </w:r>
    </w:p>
    <w:p w:rsidR="00BA3744" w:rsidRDefault="00475E69">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rsidR="00BA3744" w:rsidRDefault="00475E6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supply current information relating to the Goods and/or Services it offers for inclusion in CCS marketing materials when required by CCS from time to time.</w:t>
      </w:r>
    </w:p>
    <w:p w:rsidR="00BA3744" w:rsidRDefault="00475E6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Such information shall be provided in such form and at such time as CCS may reque</w:t>
      </w:r>
      <w:r>
        <w:rPr>
          <w:rFonts w:ascii="Arial" w:eastAsia="Arial" w:hAnsi="Arial" w:cs="Arial"/>
          <w:color w:val="000000"/>
          <w:sz w:val="24"/>
          <w:szCs w:val="24"/>
        </w:rPr>
        <w:t>st.</w:t>
      </w:r>
    </w:p>
    <w:p w:rsidR="00BA3744" w:rsidRDefault="00475E6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Failure to comply with the provisions of Paragraphs 7.2 and 7.3 may result in the Supplier's exclusion from the use of such marketing materials.</w:t>
      </w:r>
    </w:p>
    <w:p w:rsidR="00BA3744" w:rsidRDefault="00475E69">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What Suppliers can say in its own </w:t>
      </w:r>
      <w:proofErr w:type="gramStart"/>
      <w:r>
        <w:rPr>
          <w:rFonts w:ascii="Arial" w:eastAsia="Arial" w:hAnsi="Arial" w:cs="Arial"/>
          <w:b/>
          <w:color w:val="000000"/>
          <w:sz w:val="24"/>
          <w:szCs w:val="24"/>
        </w:rPr>
        <w:t>publications</w:t>
      </w:r>
      <w:proofErr w:type="gramEnd"/>
    </w:p>
    <w:p w:rsidR="00BA3744" w:rsidRDefault="00475E6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w:t>
      </w:r>
      <w:r>
        <w:rPr>
          <w:rFonts w:ascii="Arial" w:eastAsia="Arial" w:hAnsi="Arial" w:cs="Arial"/>
          <w:color w:val="000000"/>
          <w:sz w:val="24"/>
          <w:szCs w:val="24"/>
        </w:rPr>
        <w:t xml:space="preserve"> to this Framework shall at all times comply with the CCS branding guidance at</w:t>
      </w:r>
      <w:r>
        <w:rPr>
          <w:rFonts w:ascii="Arial" w:eastAsia="Arial" w:hAnsi="Arial" w:cs="Arial"/>
          <w:color w:val="000000"/>
          <w:sz w:val="24"/>
          <w:szCs w:val="24"/>
        </w:rPr>
        <w:tab/>
        <w:t xml:space="preserve"> </w:t>
      </w:r>
      <w:hyperlink r:id="rId9">
        <w:r>
          <w:rPr>
            <w:rFonts w:ascii="Arial" w:eastAsia="Arial" w:hAnsi="Arial" w:cs="Arial"/>
            <w:color w:val="0000FF"/>
            <w:sz w:val="24"/>
            <w:szCs w:val="24"/>
            <w:u w:val="single"/>
          </w:rPr>
          <w:t>https://www.gov.uk/government/publications/crown-comme</w:t>
        </w:r>
        <w:r>
          <w:rPr>
            <w:rFonts w:ascii="Arial" w:eastAsia="Arial" w:hAnsi="Arial" w:cs="Arial"/>
            <w:color w:val="0000FF"/>
            <w:sz w:val="24"/>
            <w:szCs w:val="24"/>
            <w:u w:val="single"/>
          </w:rPr>
          <w:t>rcial-service-supplier-logo-and-brand-guidelines</w:t>
        </w:r>
      </w:hyperlink>
      <w:r>
        <w:rPr>
          <w:rFonts w:ascii="Arial" w:eastAsia="Arial" w:hAnsi="Arial" w:cs="Arial"/>
          <w:color w:val="000000"/>
          <w:sz w:val="24"/>
          <w:szCs w:val="24"/>
        </w:rPr>
        <w:t>.</w:t>
      </w:r>
    </w:p>
    <w:p w:rsidR="00BA3744" w:rsidRDefault="00475E6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rsidR="00BA3744" w:rsidRDefault="00475E6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content of any information which appears on its website and whi</w:t>
      </w:r>
      <w:r>
        <w:rPr>
          <w:rFonts w:ascii="Arial" w:eastAsia="Arial" w:hAnsi="Arial" w:cs="Arial"/>
          <w:color w:val="000000"/>
          <w:sz w:val="24"/>
          <w:szCs w:val="24"/>
        </w:rPr>
        <w:t>ch relates to each Contract and ensure that such information is up to date at all times.</w:t>
      </w:r>
    </w:p>
    <w:p w:rsidR="00BA3744" w:rsidRDefault="00475E6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obtain all appropriate approvals prior to publishing any content in relation to a Contract with that Party using any media, including on any electro</w:t>
      </w:r>
      <w:r>
        <w:rPr>
          <w:rFonts w:ascii="Arial" w:eastAsia="Arial" w:hAnsi="Arial" w:cs="Arial"/>
          <w:color w:val="000000"/>
          <w:sz w:val="24"/>
          <w:szCs w:val="24"/>
        </w:rPr>
        <w:t>nic medium, and the Supplier will ensure that such content is regularly maintained and updated.  In the event that the Supplier fails to maintain or update the content, CCS or the relevant Buyer may give the Supplier notice to rectify the failure and if th</w:t>
      </w:r>
      <w:r>
        <w:rPr>
          <w:rFonts w:ascii="Arial" w:eastAsia="Arial" w:hAnsi="Arial" w:cs="Arial"/>
          <w:color w:val="000000"/>
          <w:sz w:val="24"/>
          <w:szCs w:val="24"/>
        </w:rPr>
        <w:t>e failure is not rectified to its reasonable satisfaction within one (1) Month of receipt of such notice, shall have the right to remove such content itself or require that the Supplier immediately arranges the removal of such content.</w:t>
      </w:r>
    </w:p>
    <w:p w:rsidR="00BA3744" w:rsidRDefault="00475E69">
      <w:pPr>
        <w:keepNext/>
        <w:numPr>
          <w:ilvl w:val="0"/>
          <w:numId w:val="2"/>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Where CCS might oversee parts of the Call-Off Contracts</w:t>
      </w:r>
    </w:p>
    <w:p w:rsidR="00BA3744" w:rsidRDefault="00475E69">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CCS shall have oversight of certain processes which are operated under Call-Off Contracts. Such oversight shall be provided in relation to the operation of the following Schedules in each Call-Off Con</w:t>
      </w:r>
      <w:r>
        <w:rPr>
          <w:rFonts w:ascii="Arial" w:eastAsia="Arial" w:hAnsi="Arial" w:cs="Arial"/>
          <w:color w:val="000000"/>
          <w:sz w:val="24"/>
          <w:szCs w:val="24"/>
        </w:rPr>
        <w:t>tract:</w:t>
      </w:r>
    </w:p>
    <w:p w:rsidR="00BA3744" w:rsidRDefault="00475E69">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rsidR="00BA3744" w:rsidRDefault="00475E6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and</w:t>
      </w:r>
    </w:p>
    <w:p w:rsidR="00BA3744" w:rsidRDefault="00475E69">
      <w:pPr>
        <w:numPr>
          <w:ilvl w:val="2"/>
          <w:numId w:val="2"/>
        </w:numPr>
        <w:pBdr>
          <w:top w:val="nil"/>
          <w:left w:val="nil"/>
          <w:bottom w:val="nil"/>
          <w:right w:val="nil"/>
          <w:between w:val="nil"/>
        </w:pBdr>
        <w:tabs>
          <w:tab w:val="left" w:pos="1985"/>
        </w:tabs>
        <w:spacing w:before="120" w:after="120" w:line="240" w:lineRule="auto"/>
        <w:ind w:left="2421"/>
        <w:jc w:val="both"/>
        <w:rPr>
          <w:rFonts w:ascii="Arial" w:eastAsia="Arial" w:hAnsi="Arial" w:cs="Arial"/>
          <w:color w:val="000000"/>
          <w:sz w:val="24"/>
          <w:szCs w:val="24"/>
        </w:rPr>
      </w:pPr>
      <w:r>
        <w:rPr>
          <w:rFonts w:ascii="Arial" w:eastAsia="Arial" w:hAnsi="Arial" w:cs="Arial"/>
          <w:color w:val="000000"/>
          <w:sz w:val="24"/>
          <w:szCs w:val="24"/>
        </w:rPr>
        <w:t>Joint Schedule 13 (Continuous Improvement);</w:t>
      </w:r>
    </w:p>
    <w:p w:rsidR="00BA3744" w:rsidRDefault="00475E6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 Schedule 14 (Benchmarking).</w:t>
      </w:r>
    </w:p>
    <w:p w:rsidR="00BA3744" w:rsidRDefault="00475E69">
      <w:pPr>
        <w:pBdr>
          <w:top w:val="nil"/>
          <w:left w:val="nil"/>
          <w:bottom w:val="nil"/>
          <w:right w:val="nil"/>
          <w:between w:val="nil"/>
        </w:pBdr>
        <w:tabs>
          <w:tab w:val="left" w:pos="1985"/>
        </w:tabs>
        <w:spacing w:before="120" w:after="120" w:line="240" w:lineRule="auto"/>
        <w:ind w:left="2160" w:hanging="450"/>
        <w:rPr>
          <w:rFonts w:ascii="Arial" w:eastAsia="Arial" w:hAnsi="Arial" w:cs="Arial"/>
          <w:color w:val="000000"/>
          <w:sz w:val="24"/>
          <w:szCs w:val="24"/>
        </w:rPr>
      </w:pPr>
      <w:r>
        <w:t xml:space="preserve">                    </w:t>
      </w:r>
      <w:r>
        <w:rPr>
          <w:rFonts w:ascii="Arial" w:eastAsia="Arial" w:hAnsi="Arial" w:cs="Arial"/>
          <w:color w:val="000000"/>
          <w:sz w:val="24"/>
          <w:szCs w:val="24"/>
        </w:rPr>
        <w:t xml:space="preserve"> (</w:t>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w:t>
      </w:r>
      <w:r>
        <w:rPr>
          <w:rFonts w:ascii="Arial" w:eastAsia="Arial" w:hAnsi="Arial" w:cs="Arial"/>
          <w:b/>
          <w:color w:val="000000"/>
          <w:sz w:val="24"/>
          <w:szCs w:val="24"/>
        </w:rPr>
        <w:t>"Supported Schedules"</w:t>
      </w:r>
      <w:r>
        <w:rPr>
          <w:rFonts w:ascii="Arial" w:eastAsia="Arial" w:hAnsi="Arial" w:cs="Arial"/>
          <w:color w:val="000000"/>
          <w:sz w:val="24"/>
          <w:szCs w:val="24"/>
        </w:rPr>
        <w:t>)</w:t>
      </w:r>
    </w:p>
    <w:p w:rsidR="00BA3744" w:rsidRDefault="00475E69">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rsidR="00BA3744" w:rsidRDefault="00475E69">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co-operate as reasonably required by CCS in relation to the Supported Schedules including:</w:t>
      </w:r>
    </w:p>
    <w:p w:rsidR="00BA3744" w:rsidRDefault="00475E6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provision of information;</w:t>
      </w:r>
    </w:p>
    <w:p w:rsidR="00BA3744" w:rsidRDefault="00475E6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allowing CCS to act as agent for the Buyers under the Supported Schedules </w:t>
      </w:r>
      <w:r>
        <w:rPr>
          <w:rFonts w:ascii="Arial" w:eastAsia="Arial" w:hAnsi="Arial" w:cs="Arial"/>
          <w:color w:val="000000"/>
          <w:sz w:val="24"/>
          <w:szCs w:val="24"/>
        </w:rPr>
        <w:t>for such matters as CCS may notify to the Supplier from time to time; and</w:t>
      </w:r>
    </w:p>
    <w:p w:rsidR="00BA3744" w:rsidRDefault="00475E6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other matters as CCS may notify to the Supplier from time to time.</w:t>
      </w:r>
    </w:p>
    <w:p w:rsidR="00BA3744" w:rsidRDefault="00475E69">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rsidR="00BA3744" w:rsidRDefault="00475E69">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In addition to general oversight as referred to above the following specific oversight shall apply to the individual Supported Schedules:</w:t>
      </w:r>
    </w:p>
    <w:p w:rsidR="00BA3744" w:rsidRDefault="00475E69">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t xml:space="preserve">     </w:t>
      </w:r>
      <w:r>
        <w:rPr>
          <w:rFonts w:ascii="Arial" w:eastAsia="Arial" w:hAnsi="Arial" w:cs="Arial"/>
          <w:color w:val="000000"/>
          <w:sz w:val="24"/>
          <w:szCs w:val="24"/>
        </w:rPr>
        <w:t>Call-Off Schedule 8 (Business Continuity and Disaster Recovery) - the Supplier shall:</w:t>
      </w:r>
    </w:p>
    <w:p w:rsidR="00BA3744" w:rsidRDefault="00475E69">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create and hold a template BCDR plan that can be used by each Buyer and shall make it available to CCS so that it can be published to potential Buyers; and</w:t>
      </w:r>
    </w:p>
    <w:p w:rsidR="00BA3744" w:rsidRDefault="00475E69">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notify</w:t>
      </w:r>
      <w:proofErr w:type="gramEnd"/>
      <w:r>
        <w:rPr>
          <w:rFonts w:ascii="Arial" w:eastAsia="Arial" w:hAnsi="Arial" w:cs="Arial"/>
          <w:color w:val="000000"/>
          <w:sz w:val="24"/>
          <w:szCs w:val="24"/>
        </w:rPr>
        <w:t xml:space="preserve"> CCS in the event of the invocation or potential invocation of any BCDR plan and the Supplier </w:t>
      </w:r>
      <w:r>
        <w:rPr>
          <w:rFonts w:ascii="Arial" w:eastAsia="Arial" w:hAnsi="Arial" w:cs="Arial"/>
          <w:color w:val="000000"/>
          <w:sz w:val="24"/>
          <w:szCs w:val="24"/>
        </w:rPr>
        <w:t>shall provide such support as CCS may reasonably require to coordinate the application of BCDR plans across all Call Off Contracts.</w:t>
      </w:r>
    </w:p>
    <w:p w:rsidR="00BA3744" w:rsidRDefault="00475E6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 the Supplier shall:</w:t>
      </w:r>
    </w:p>
    <w:p w:rsidR="00BA3744" w:rsidRDefault="00475E69">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and hold a template Security Plan that can be used by each Buyer</w:t>
      </w:r>
      <w:r>
        <w:rPr>
          <w:rFonts w:ascii="Arial" w:eastAsia="Arial" w:hAnsi="Arial" w:cs="Arial"/>
          <w:color w:val="000000"/>
          <w:sz w:val="24"/>
          <w:szCs w:val="24"/>
        </w:rPr>
        <w:t xml:space="preserve"> and shall make it available to CCS so that it can be published to potential Buyers; and</w:t>
      </w:r>
    </w:p>
    <w:p w:rsidR="00BA3744" w:rsidRDefault="00475E69">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proofErr w:type="gramStart"/>
      <w:r>
        <w:rPr>
          <w:rFonts w:ascii="Arial" w:eastAsia="Arial" w:hAnsi="Arial" w:cs="Arial"/>
          <w:color w:val="000000"/>
          <w:sz w:val="24"/>
          <w:szCs w:val="24"/>
        </w:rPr>
        <w:t>notify</w:t>
      </w:r>
      <w:proofErr w:type="gramEnd"/>
      <w:r>
        <w:rPr>
          <w:rFonts w:ascii="Arial" w:eastAsia="Arial" w:hAnsi="Arial" w:cs="Arial"/>
          <w:color w:val="000000"/>
          <w:sz w:val="24"/>
          <w:szCs w:val="24"/>
        </w:rPr>
        <w:t xml:space="preserve"> CCS in the event of breach of any Security Plan and the Supplier shall provide such support as CCS may reasonably require to coordinate the application of Security Plans across all Call Off Contracts.</w:t>
      </w:r>
    </w:p>
    <w:p w:rsidR="00BA3744" w:rsidRDefault="00475E69">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Joint Schedule 13 (Continuous Improvement) - the</w:t>
      </w:r>
      <w:r>
        <w:rPr>
          <w:rFonts w:ascii="Arial" w:eastAsia="Arial" w:hAnsi="Arial" w:cs="Arial"/>
          <w:color w:val="000000"/>
          <w:sz w:val="24"/>
          <w:szCs w:val="24"/>
        </w:rPr>
        <w:t xml:space="preserve"> Supplier shall:</w:t>
      </w:r>
    </w:p>
    <w:p w:rsidR="00BA3744" w:rsidRDefault="00475E69">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p>
    <w:p w:rsidR="00BA3744" w:rsidRDefault="00475E69">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create</w:t>
      </w:r>
      <w:proofErr w:type="gramEnd"/>
      <w:r>
        <w:rPr>
          <w:rFonts w:ascii="Arial" w:eastAsia="Arial" w:hAnsi="Arial" w:cs="Arial"/>
          <w:color w:val="000000"/>
          <w:sz w:val="24"/>
          <w:szCs w:val="24"/>
        </w:rPr>
        <w:t>, maintain and update a continuous improvement plan for improving the provision of the Deliverables and/or reducing the Charges and, where requested by CCS, in</w:t>
      </w:r>
      <w:r>
        <w:rPr>
          <w:rFonts w:ascii="Arial" w:eastAsia="Arial" w:hAnsi="Arial" w:cs="Arial"/>
          <w:color w:val="000000"/>
          <w:sz w:val="24"/>
          <w:szCs w:val="24"/>
        </w:rPr>
        <w:t>corporate any improvement identified in accordance with the Variation Procedure.</w:t>
      </w:r>
    </w:p>
    <w:p w:rsidR="00BA3744" w:rsidRDefault="00475E69">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 Schedule 14 (Benchmarking) - the Supplier:</w:t>
      </w:r>
    </w:p>
    <w:p w:rsidR="00BA3744" w:rsidRDefault="00475E69">
      <w:pPr>
        <w:numPr>
          <w:ilvl w:val="3"/>
          <w:numId w:val="2"/>
        </w:numPr>
        <w:pBdr>
          <w:top w:val="nil"/>
          <w:left w:val="nil"/>
          <w:bottom w:val="nil"/>
          <w:right w:val="nil"/>
          <w:between w:val="nil"/>
        </w:pBdr>
        <w:tabs>
          <w:tab w:val="left" w:pos="1985"/>
        </w:tabs>
        <w:spacing w:before="120" w:after="120" w:line="240" w:lineRule="auto"/>
        <w:ind w:left="1985" w:firstLine="0"/>
        <w:rPr>
          <w:rFonts w:ascii="Arial" w:eastAsia="Arial" w:hAnsi="Arial" w:cs="Arial"/>
          <w:color w:val="000000"/>
          <w:sz w:val="24"/>
          <w:szCs w:val="24"/>
        </w:rPr>
      </w:pPr>
      <w:r>
        <w:rPr>
          <w:rFonts w:ascii="Arial" w:eastAsia="Arial" w:hAnsi="Arial" w:cs="Arial"/>
          <w:color w:val="000000"/>
          <w:sz w:val="24"/>
          <w:szCs w:val="24"/>
        </w:rPr>
        <w:t xml:space="preserve">shall notify CCS in the event that any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is appoint in respect of any Call Off Contract and the Supplier recognises that CCS may want to co-ordinate how benchmarking is conducted across multiple Call Off Contracts;</w:t>
      </w:r>
    </w:p>
    <w:p w:rsidR="00BA3744" w:rsidRDefault="00475E69">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shall where CCS is appointed as</w:t>
      </w:r>
      <w:r>
        <w:rPr>
          <w:rFonts w:ascii="Arial" w:eastAsia="Arial" w:hAnsi="Arial" w:cs="Arial"/>
          <w:color w:val="000000"/>
          <w:sz w:val="24"/>
          <w:szCs w:val="24"/>
        </w:rPr>
        <w:t xml:space="preserve"> agent by Buyers in respect of benchmarking, co-operate with CCS in order to operate the benchmarking as efficiently as possible;</w:t>
      </w:r>
    </w:p>
    <w:p w:rsidR="00BA3744" w:rsidRDefault="00475E69">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proofErr w:type="gramStart"/>
      <w:r>
        <w:rPr>
          <w:rFonts w:ascii="Arial" w:eastAsia="Arial" w:hAnsi="Arial" w:cs="Arial"/>
          <w:color w:val="000000"/>
          <w:sz w:val="24"/>
          <w:szCs w:val="24"/>
        </w:rPr>
        <w:t>agrees</w:t>
      </w:r>
      <w:proofErr w:type="gramEnd"/>
      <w:r>
        <w:rPr>
          <w:rFonts w:ascii="Arial" w:eastAsia="Arial" w:hAnsi="Arial" w:cs="Arial"/>
          <w:color w:val="000000"/>
          <w:sz w:val="24"/>
          <w:szCs w:val="24"/>
        </w:rPr>
        <w:t xml:space="preserve"> that notwithstanding the remainder of Clause 15 (Confidentiality) in the Core Terms, CCS shall be entitled to publish t</w:t>
      </w:r>
      <w:r>
        <w:rPr>
          <w:rFonts w:ascii="Arial" w:eastAsia="Arial" w:hAnsi="Arial" w:cs="Arial"/>
          <w:color w:val="000000"/>
          <w:sz w:val="24"/>
          <w:szCs w:val="24"/>
        </w:rPr>
        <w:t>he results of any benchmarking of the Framework Prices to Other Contracting Authorities (subject to the other party entering into reasonable confidentiality undertakings).</w:t>
      </w:r>
    </w:p>
    <w:p w:rsidR="00BA3744" w:rsidRDefault="00475E69">
      <w:pPr>
        <w:keepNext/>
        <w:pBdr>
          <w:top w:val="nil"/>
          <w:left w:val="nil"/>
          <w:bottom w:val="nil"/>
          <w:right w:val="nil"/>
          <w:between w:val="nil"/>
        </w:pBdr>
        <w:tabs>
          <w:tab w:val="left" w:pos="1985"/>
          <w:tab w:val="left" w:pos="1985"/>
          <w:tab w:val="left" w:pos="2552"/>
        </w:tabs>
        <w:spacing w:before="120" w:after="120" w:line="240" w:lineRule="auto"/>
        <w:ind w:left="1656" w:hanging="720"/>
        <w:rPr>
          <w:rFonts w:ascii="Arial" w:eastAsia="Arial" w:hAnsi="Arial" w:cs="Arial"/>
          <w:color w:val="000000"/>
          <w:sz w:val="24"/>
          <w:szCs w:val="24"/>
        </w:rPr>
        <w:sectPr w:rsidR="00BA3744">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pPr>
      <w:r>
        <w:t xml:space="preserve">                                                                      </w:t>
      </w:r>
    </w:p>
    <w:p w:rsidR="00BA3744" w:rsidRDefault="00BA3744">
      <w:pPr>
        <w:keepNext/>
        <w:pBdr>
          <w:top w:val="nil"/>
          <w:left w:val="nil"/>
          <w:bottom w:val="nil"/>
          <w:right w:val="nil"/>
          <w:between w:val="nil"/>
        </w:pBdr>
        <w:tabs>
          <w:tab w:val="left" w:pos="1985"/>
          <w:tab w:val="left" w:pos="1985"/>
          <w:tab w:val="left" w:pos="2552"/>
        </w:tabs>
        <w:spacing w:before="120" w:after="120" w:line="240" w:lineRule="auto"/>
        <w:ind w:left="1656" w:hanging="720"/>
        <w:rPr>
          <w:rFonts w:ascii="Arial" w:eastAsia="Arial" w:hAnsi="Arial" w:cs="Arial"/>
          <w:color w:val="000000"/>
          <w:sz w:val="24"/>
          <w:szCs w:val="24"/>
          <w:highlight w:val="red"/>
        </w:rPr>
      </w:pPr>
    </w:p>
    <w:sectPr w:rsidR="00BA3744">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E69" w:rsidRDefault="00475E69">
      <w:pPr>
        <w:spacing w:after="0" w:line="240" w:lineRule="auto"/>
      </w:pPr>
      <w:r>
        <w:separator/>
      </w:r>
    </w:p>
  </w:endnote>
  <w:endnote w:type="continuationSeparator" w:id="0">
    <w:p w:rsidR="00475E69" w:rsidRDefault="00475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Tahoma">
    <w:panose1 w:val="020B0604030504040204"/>
    <w:charset w:val="00"/>
    <w:family w:val="roman"/>
    <w:notTrueType/>
    <w:pitch w:val="default"/>
  </w:font>
  <w:font w:name="Georgia">
    <w:panose1 w:val="02040502050405020303"/>
    <w:charset w:val="00"/>
    <w:family w:val="auto"/>
    <w:pitch w:val="default"/>
  </w:font>
  <w:font w:name="Arial Bold">
    <w:panose1 w:val="020B0704020202020204"/>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744" w:rsidRDefault="00475E6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RM6174</w:t>
    </w:r>
    <w:r>
      <w:rPr>
        <w:rFonts w:ascii="Arial" w:eastAsia="Arial" w:hAnsi="Arial" w:cs="Arial"/>
        <w:sz w:val="20"/>
        <w:szCs w:val="20"/>
      </w:rPr>
      <w:tab/>
      <w:t xml:space="preserve">                                           </w:t>
    </w:r>
  </w:p>
  <w:p w:rsidR="00BA3744" w:rsidRDefault="00475E6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9684F">
      <w:rPr>
        <w:rFonts w:ascii="Arial" w:eastAsia="Arial" w:hAnsi="Arial" w:cs="Arial"/>
        <w:color w:val="000000"/>
        <w:sz w:val="20"/>
        <w:szCs w:val="20"/>
      </w:rPr>
      <w:fldChar w:fldCharType="separate"/>
    </w:r>
    <w:r w:rsidR="0029684F">
      <w:rPr>
        <w:rFonts w:ascii="Arial" w:eastAsia="Arial" w:hAnsi="Arial" w:cs="Arial"/>
        <w:noProof/>
        <w:color w:val="000000"/>
        <w:sz w:val="20"/>
        <w:szCs w:val="20"/>
      </w:rPr>
      <w:t>8</w:t>
    </w:r>
    <w:r>
      <w:rPr>
        <w:rFonts w:ascii="Arial" w:eastAsia="Arial" w:hAnsi="Arial" w:cs="Arial"/>
        <w:color w:val="000000"/>
        <w:sz w:val="20"/>
        <w:szCs w:val="20"/>
      </w:rPr>
      <w:fldChar w:fldCharType="end"/>
    </w:r>
  </w:p>
  <w:p w:rsidR="00BA3744" w:rsidRDefault="00475E69">
    <w:pPr>
      <w:spacing w:after="0" w:line="240" w:lineRule="auto"/>
      <w:jc w:val="both"/>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744" w:rsidRDefault="00475E6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BA3744" w:rsidRDefault="00475E6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BA3744" w:rsidRDefault="00475E69">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E69" w:rsidRDefault="00475E69">
      <w:pPr>
        <w:spacing w:after="0" w:line="240" w:lineRule="auto"/>
      </w:pPr>
      <w:r>
        <w:separator/>
      </w:r>
    </w:p>
  </w:footnote>
  <w:footnote w:type="continuationSeparator" w:id="0">
    <w:p w:rsidR="00475E69" w:rsidRDefault="00475E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744" w:rsidRDefault="00475E6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BA3744" w:rsidRDefault="00475E6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744" w:rsidRDefault="00475E6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BA3744" w:rsidRDefault="00475E6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74993"/>
    <w:multiLevelType w:val="multilevel"/>
    <w:tmpl w:val="BA5E1E1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51430C9"/>
    <w:multiLevelType w:val="multilevel"/>
    <w:tmpl w:val="8922698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744"/>
    <w:rsid w:val="0029684F"/>
    <w:rsid w:val="00475E69"/>
    <w:rsid w:val="00BA37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9A902F-B3BC-4741-8920-612CEDA8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ListParagraph">
    <w:name w:val="List Paragraph"/>
    <w:basedOn w:val="Normal"/>
    <w:link w:val="ListParagraphChar"/>
    <w:uiPriority w:val="34"/>
    <w:qFormat/>
    <w:rsid w:val="00690948"/>
    <w:pPr>
      <w:ind w:left="720"/>
      <w:contextualSpacing/>
    </w:pPr>
    <w:rPr>
      <w:lang w:val="en-US"/>
    </w:rPr>
  </w:style>
  <w:style w:type="character" w:customStyle="1" w:styleId="ListParagraphChar">
    <w:name w:val="List Paragraph Char"/>
    <w:basedOn w:val="DefaultParagraphFont"/>
    <w:link w:val="ListParagraph"/>
    <w:uiPriority w:val="34"/>
    <w:rsid w:val="00690948"/>
    <w:rPr>
      <w:lang w:val="en-US"/>
    </w:r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crown-commercial-service-supplier-logo-and-brand-guidelin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wv2NoQ4DXD4WabSamwkId/XcDw==">AMUW2mUYp22IDHPeJ7mSossjj6zgfvyFVuk7arsHPK9/OeQk4usNQgfB4GG3IKDhlxg6IeaqrV80I7p2YAfJfQgZWCSaTzW2j/ilWDDk4YhSOC19E0kbgdRZlzF/qcNMmdid+Tq9MJz8354QxVbjgCHZGhWjZvoCJcJRlNWnhDI0u7vY7+7yfKUken54BzK7FsAbcHTomF6fWsreE8MsPu5wpHCqt0Y4OCdYQjIKbwLvNWtMLkOI8Qc=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2229</Words>
  <Characters>12706</Characters>
  <Application>Microsoft Office Word</Application>
  <DocSecurity>0</DocSecurity>
  <Lines>105</Lines>
  <Paragraphs>29</Paragraphs>
  <ScaleCrop>false</ScaleCrop>
  <Company>Cabinet Office</Company>
  <LinksUpToDate>false</LinksUpToDate>
  <CharactersWithSpaces>14906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Natasha Gowan</cp:lastModifiedBy>
  <cp:revision>2</cp:revision>
  <dcterms:created xsi:type="dcterms:W3CDTF">2021-03-26T14:47:00Z</dcterms:created>
  <dcterms:modified xsi:type="dcterms:W3CDTF">2021-04-01T08:54:00Z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